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35D7198" w:rsidR="00E1755D" w:rsidRDefault="00A53E61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Likelihood of an Event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2D1154">
        <w:trPr>
          <w:trHeight w:hRule="exact" w:val="158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057C518F" w:rsidR="00E1755D" w:rsidRPr="00B126FB" w:rsidRDefault="004B2D72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Student’s picture does not match the chosen chance word. </w:t>
            </w:r>
          </w:p>
          <w:p w14:paraId="4A174B0F" w14:textId="77777777" w:rsidR="00E1755D" w:rsidRPr="00B126FB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B126FB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46FF7EF" w:rsidR="00E1755D" w:rsidRPr="00B126FB" w:rsidRDefault="004B2D72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Student makes decisions of likelihood based on what she or he would like to happen.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7D2CEA" w:rsidR="00A53E61" w:rsidRPr="00B126FB" w:rsidRDefault="004B2D72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Student’s picture matches the chosen chance word but student has a hard time justifying his or her thinking.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9FF44" w14:textId="261B0E73" w:rsidR="004B2D72" w:rsidRPr="00B126FB" w:rsidRDefault="004B2D72" w:rsidP="004B2D7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Student’s picture matches the chosen chance word and student justifies his or her thinking. Student compares events</w:t>
            </w:r>
            <w:r w:rsidR="00DC705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says which one is more likely</w:t>
            </w:r>
            <w:r w:rsidR="00DC705A" w:rsidRPr="00DC705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 and predicts the likelihood of the same frequency of events in another place</w:t>
            </w: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283FDE" w14:textId="1A69E605" w:rsidR="00E1755D" w:rsidRPr="00B126FB" w:rsidRDefault="00E1755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2D1154">
        <w:trPr>
          <w:trHeight w:val="6456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DB811D2" w:rsidR="00F10556" w:rsidRDefault="00F10556" w:rsidP="003204B5"/>
    <w:sectPr w:rsidR="00F10556" w:rsidSect="003204B5">
      <w:headerReference w:type="default" r:id="rId10"/>
      <w:footerReference w:type="default" r:id="rId11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2367" w14:textId="77777777" w:rsidR="004F18FB" w:rsidRDefault="004F18FB" w:rsidP="00CA2529">
      <w:pPr>
        <w:spacing w:after="0" w:line="240" w:lineRule="auto"/>
      </w:pPr>
      <w:r>
        <w:separator/>
      </w:r>
    </w:p>
  </w:endnote>
  <w:endnote w:type="continuationSeparator" w:id="0">
    <w:p w14:paraId="50560AC9" w14:textId="77777777" w:rsidR="004F18FB" w:rsidRDefault="004F18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DFBA" w14:textId="70527C09" w:rsidR="00DD3BCA" w:rsidRPr="00DD3BCA" w:rsidRDefault="00DD3BCA" w:rsidP="00DD3BCA">
    <w:pPr>
      <w:pBdr>
        <w:top w:val="single" w:sz="4" w:space="0" w:color="auto"/>
      </w:pBdr>
      <w:tabs>
        <w:tab w:val="right" w:pos="14054"/>
      </w:tabs>
      <w:ind w:right="-3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FE7555A" wp14:editId="78C24F4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058A" w14:textId="77777777" w:rsidR="004F18FB" w:rsidRDefault="004F18FB" w:rsidP="00CA2529">
      <w:pPr>
        <w:spacing w:after="0" w:line="240" w:lineRule="auto"/>
      </w:pPr>
      <w:r>
        <w:separator/>
      </w:r>
    </w:p>
  </w:footnote>
  <w:footnote w:type="continuationSeparator" w:id="0">
    <w:p w14:paraId="380CB5BC" w14:textId="77777777" w:rsidR="004F18FB" w:rsidRDefault="004F18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293A" w14:textId="04DBBD7E" w:rsidR="00D245FF" w:rsidRPr="00E71CBF" w:rsidRDefault="009B442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93B66" wp14:editId="1D98ACB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437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26E192" wp14:editId="3FA83F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F648FE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9A25AA" wp14:editId="18A3BBC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64CCCF" w14:textId="5ABF834A" w:rsidR="00D245FF" w:rsidRPr="00CB2021" w:rsidRDefault="004C16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A25A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QoeA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p3&#10;wpkVDXr0qLrIPlHHoAI/rQtTwB4cgLGDHtitPkCZyu60b9IfBTHYwfRmx26KJpPT8Wh0+vGIMwnb&#10;5OjsZJLpL168nQ/xs6KGJaHkHt3LpIr1TYjIBNAtJF1m6bo2JnfQ2N8UAPYalUdg8E6F9AlnKW6M&#10;Sl7GflUaFOS8kyIPn7o0nq0FxkZIqWzMJee4QCeUxt1vcRzwybXP6i3OO498M9m4c25qSz6z9Crt&#10;6vs2Zd3jwd9e3UmM3aIbGrygaoP+euo3JDh5XaMJNyLEe+GxEmgp1jze4aMNtSWnQeJsSf7n3/QJ&#10;j0mFlbMWK1by8GMlvOLMfLGY4bPxBCPAYj5Mjk4OcfD7lsW+xa6aS0I7xnhQnMxiwkezFbWn5gmv&#10;wTzdCpOwEneXPG7Fy9gvPl4TqebzDMIWOhFv7IOTKXSiN43YY/ckvBvmMGKCb2m7jGL6ahx7bPK0&#10;NF9F0nWe1URwz+pAPDY4j/Dw2qQnYv+cUS9v4uwXAAAA//8DAFBLAwQUAAYACAAAACEApjZ4f9wA&#10;AAAGAQAADwAAAGRycy9kb3ducmV2LnhtbEyOTU/DMBBE70j8B2uRuLV2W5LSNJsKgbiC6AdSb268&#10;TSLidRS7Tfj3mBMcRzN68/LNaFtxpd43jhFmUwWCuHSm4Qphv3udPILwQbPRrWNC+CYPm+L2JteZ&#10;cQN/0HUbKhEh7DONUIfQZVL6siar/dR1xLE7u97qEGNfSdPrIcJtK+dKpdLqhuNDrTt6rqn82l4s&#10;wuHtfPx8UO/Vi026wY1Ksl1JxPu78WkNItAY/sbwqx/VoYhOJ3dh40WLMEnjEGGxAhHbeTJLQJwQ&#10;lukCZJHL//rFDwAAAP//AwBQSwECLQAUAAYACAAAACEAtoM4kv4AAADhAQAAEwAAAAAAAAAAAAAA&#10;AAAAAAAAW0NvbnRlbnRfVHlwZXNdLnhtbFBLAQItABQABgAIAAAAIQA4/SH/1gAAAJQBAAALAAAA&#10;AAAAAAAAAAAAAC8BAABfcmVscy8ucmVsc1BLAQItABQABgAIAAAAIQDbz1QoeAIAAFsFAAAOAAAA&#10;AAAAAAAAAAAAAC4CAABkcnMvZTJvRG9jLnhtbFBLAQItABQABgAIAAAAIQCmNnh/3AAAAAYBAAAP&#10;AAAAAAAAAAAAAAAAANIEAABkcnMvZG93bnJldi54bWxQSwUGAAAAAAQABADzAAAA2wUAAAAA&#10;" filled="f" stroked="f">
              <v:textbox>
                <w:txbxContent>
                  <w:p w14:paraId="4664CCCF" w14:textId="5ABF834A" w:rsidR="00D245FF" w:rsidRPr="00CB2021" w:rsidRDefault="004C16C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65746A">
      <w:rPr>
        <w:rFonts w:ascii="Arial" w:hAnsi="Arial" w:cs="Arial"/>
        <w:b/>
        <w:sz w:val="36"/>
        <w:szCs w:val="36"/>
      </w:rPr>
      <w:t>1</w:t>
    </w:r>
    <w:r w:rsidR="0084356B">
      <w:rPr>
        <w:rFonts w:ascii="Arial" w:hAnsi="Arial" w:cs="Arial"/>
        <w:b/>
        <w:sz w:val="36"/>
        <w:szCs w:val="36"/>
      </w:rPr>
      <w:t>9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42402E">
      <w:rPr>
        <w:rFonts w:ascii="Arial" w:hAnsi="Arial" w:cs="Arial"/>
        <w:b/>
        <w:sz w:val="36"/>
        <w:szCs w:val="36"/>
      </w:rPr>
      <w:t xml:space="preserve">Activity </w:t>
    </w:r>
    <w:r w:rsidR="0084356B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3C47F45" w14:textId="367C342E" w:rsidR="00D245FF" w:rsidRPr="00E71CBF" w:rsidRDefault="009B442F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F25771">
      <w:rPr>
        <w:rFonts w:ascii="Arial" w:hAnsi="Arial" w:cs="Arial"/>
        <w:b/>
        <w:sz w:val="28"/>
        <w:szCs w:val="28"/>
      </w:rPr>
      <w:t>Probability and Chance: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61E20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B6322"/>
    <w:rsid w:val="002C432C"/>
    <w:rsid w:val="002D1154"/>
    <w:rsid w:val="003014A9"/>
    <w:rsid w:val="003204B5"/>
    <w:rsid w:val="003372DD"/>
    <w:rsid w:val="00345039"/>
    <w:rsid w:val="003D71B6"/>
    <w:rsid w:val="0042402E"/>
    <w:rsid w:val="00483555"/>
    <w:rsid w:val="004B2D72"/>
    <w:rsid w:val="004C16CE"/>
    <w:rsid w:val="004E3AD4"/>
    <w:rsid w:val="004F18FB"/>
    <w:rsid w:val="0052693C"/>
    <w:rsid w:val="00543A9A"/>
    <w:rsid w:val="00581577"/>
    <w:rsid w:val="005B3A77"/>
    <w:rsid w:val="00644341"/>
    <w:rsid w:val="0065746A"/>
    <w:rsid w:val="00661689"/>
    <w:rsid w:val="00696ABC"/>
    <w:rsid w:val="006C598E"/>
    <w:rsid w:val="006F62BA"/>
    <w:rsid w:val="007436D6"/>
    <w:rsid w:val="007C3C9E"/>
    <w:rsid w:val="00806CAF"/>
    <w:rsid w:val="00832B16"/>
    <w:rsid w:val="0084356B"/>
    <w:rsid w:val="00900322"/>
    <w:rsid w:val="00994C77"/>
    <w:rsid w:val="009B442F"/>
    <w:rsid w:val="009B6FF8"/>
    <w:rsid w:val="00A43E96"/>
    <w:rsid w:val="00A53E61"/>
    <w:rsid w:val="00AE494A"/>
    <w:rsid w:val="00B126FB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E63DE"/>
    <w:rsid w:val="00CF3ED1"/>
    <w:rsid w:val="00D7596A"/>
    <w:rsid w:val="00DA1368"/>
    <w:rsid w:val="00DB4EC8"/>
    <w:rsid w:val="00DC705A"/>
    <w:rsid w:val="00DD3BCA"/>
    <w:rsid w:val="00DD6F23"/>
    <w:rsid w:val="00E04202"/>
    <w:rsid w:val="00E16179"/>
    <w:rsid w:val="00E1755D"/>
    <w:rsid w:val="00E30336"/>
    <w:rsid w:val="00E45E3B"/>
    <w:rsid w:val="00E613E3"/>
    <w:rsid w:val="00E71CBF"/>
    <w:rsid w:val="00EE29C2"/>
    <w:rsid w:val="00F10556"/>
    <w:rsid w:val="00F155A2"/>
    <w:rsid w:val="00F25771"/>
    <w:rsid w:val="00F351D3"/>
    <w:rsid w:val="00F86C1E"/>
    <w:rsid w:val="00FD2B2E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D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6FB8F-7247-4B83-A029-D2D9C4819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5602D-AF18-4BAC-A8D2-3A12289C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18285-1E2A-462F-AAB0-64E461414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4080F-7EF9-4EE8-AD7A-2462E76AE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2021-12-06T07:12:00Z</dcterms:created>
  <dcterms:modified xsi:type="dcterms:W3CDTF">2021-12-06T07:12:00Z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