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D24C543" w:rsidR="00EE29C2" w:rsidRPr="00D7596A" w:rsidRDefault="0038099F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Borrowing Money</w:t>
            </w:r>
          </w:p>
        </w:tc>
      </w:tr>
      <w:tr w:rsidR="00661689" w14:paraId="76008433" w14:textId="77777777" w:rsidTr="00BA0E1B">
        <w:trPr>
          <w:trHeight w:hRule="exact" w:val="302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463DD13" w14:textId="67DB968C" w:rsidR="0038099F" w:rsidRPr="0038099F" w:rsidRDefault="0038099F" w:rsidP="0038099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>Defines the term loan and identifies some reasons why people might borrow money</w:t>
            </w:r>
            <w:r w:rsidR="00CB32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624E078" w14:textId="77777777" w:rsidR="0038099F" w:rsidRPr="0038099F" w:rsidRDefault="0038099F" w:rsidP="0038099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C428C4" w14:textId="62F982AD" w:rsidR="0038099F" w:rsidRPr="0038099F" w:rsidRDefault="0038099F" w:rsidP="0038099F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vehicles are a lot of money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 xml:space="preserve">and people may need to borrow money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>to purchase one.”</w:t>
            </w:r>
            <w:r w:rsidR="00BA0E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sais que les véhicules coûtent cher et que les gens peuvent avoir besoin d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emprunter de l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pour en acheter un. »)</w:t>
            </w:r>
          </w:p>
          <w:p w14:paraId="57DB202C" w14:textId="3EEAE780" w:rsidR="00345039" w:rsidRPr="0028676E" w:rsidRDefault="00345039" w:rsidP="00343B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537A43A" w14:textId="1A7653B7" w:rsidR="0038099F" w:rsidRPr="0038099F" w:rsidRDefault="0038099F" w:rsidP="0038099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>Identifies basic sources of loans and understands that borrowing money involves repayment</w:t>
            </w:r>
            <w:r w:rsidR="00CB32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2A40D87" w14:textId="77777777" w:rsidR="0038099F" w:rsidRPr="0038099F" w:rsidRDefault="0038099F" w:rsidP="0038099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A7C052" w14:textId="15AD39FE" w:rsidR="0038099F" w:rsidRPr="0038099F" w:rsidRDefault="0038099F" w:rsidP="0038099F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099F">
              <w:rPr>
                <w:rFonts w:ascii="Arial" w:hAnsi="Arial" w:cs="Arial"/>
                <w:color w:val="626365"/>
                <w:sz w:val="19"/>
                <w:szCs w:val="19"/>
              </w:rPr>
              <w:t>“I know that a bank or financial institution may lend money and that it needs to be repaid. If not repaid, there will be penalties and it will be difficult for me to get a loan in the future.”</w:t>
            </w:r>
            <w:r w:rsidR="00BA0E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sais qu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une banque ou une institution financière peut prêter de l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et que cet argent doit être remboursé. Si l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n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est pas remboursé, il y aura des pénalités et il me sera difficile d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obtenir un prêt à l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avenir. »)</w:t>
            </w:r>
          </w:p>
          <w:p w14:paraId="7F95AA5C" w14:textId="315CD181" w:rsidR="00481DFC" w:rsidRPr="00D22C1A" w:rsidRDefault="00481DFC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0062855" w14:textId="48765F15" w:rsidR="0038099F" w:rsidRPr="00E45C91" w:rsidRDefault="0038099F" w:rsidP="00E45C91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Identifies factors to consider when deciding to borrow money</w:t>
            </w:r>
            <w:r w:rsidR="00CB32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7460877" w14:textId="77777777" w:rsidR="0038099F" w:rsidRPr="00E45C91" w:rsidRDefault="0038099F" w:rsidP="00E45C91">
            <w:pPr>
              <w:pStyle w:val="Pa6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892725" w14:textId="77777777" w:rsidR="00E45C91" w:rsidRPr="00E45C91" w:rsidRDefault="0038099F" w:rsidP="00E45C91">
            <w:pPr>
              <w:pStyle w:val="Pa6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a full-time job with a regular income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and the interest rate is quite low. I can afford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 monthly payments and would be </w:t>
            </w:r>
            <w:proofErr w:type="gramStart"/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able</w:t>
            </w:r>
            <w:proofErr w:type="gramEnd"/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BF90EC" w14:textId="2B61B98C" w:rsidR="0038099F" w:rsidRPr="00E45C91" w:rsidRDefault="0038099F" w:rsidP="00E45C91">
            <w:pPr>
              <w:pStyle w:val="Pa6"/>
              <w:pBdr>
                <w:top w:val="nil"/>
                <w:left w:val="nil"/>
                <w:bottom w:val="nil"/>
                <w:right w:val="nil"/>
                <w:between w:val="nil"/>
              </w:pBdr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to pay the loan back on time.”</w:t>
            </w:r>
            <w:r w:rsidR="00BA0E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 un emploi à temps plein 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qui me donne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un revenu régulier et le taux d</w:t>
            </w:r>
            <w:r w:rsidR="00BA0E1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BA0E1B" w:rsidRPr="00C31C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intérêt est assez bas. Je peux assumer les paiements mensuels et je serais en mesure de rembourser le prêt à temps. »)</w:t>
            </w:r>
          </w:p>
          <w:p w14:paraId="6E3EB05B" w14:textId="127C6D41" w:rsidR="00646BA4" w:rsidRPr="00D22C1A" w:rsidRDefault="00646BA4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BA0E1B">
        <w:trPr>
          <w:trHeight w:val="51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064E312" w:rsidR="00FE6750" w:rsidRPr="00D7596A" w:rsidRDefault="0038099F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Borrowing Money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3D23C2">
        <w:trPr>
          <w:trHeight w:hRule="exact" w:val="43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FA78AF" w14:textId="77777777" w:rsid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factors used by banks and </w:t>
            </w:r>
            <w:proofErr w:type="gramStart"/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financial</w:t>
            </w:r>
            <w:proofErr w:type="gramEnd"/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7F95EFF" w14:textId="002A8D09" w:rsidR="00E45C91" w:rsidRP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institutions when making decisions about loans</w:t>
            </w:r>
            <w:r w:rsidR="00CB32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4BE502D" w14:textId="77777777" w:rsidR="00E45C91" w:rsidRPr="00E45C91" w:rsidRDefault="00E45C91" w:rsidP="00E4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16ABA1" w14:textId="59F4A112" w:rsidR="00E45C91" w:rsidRPr="00E45C91" w:rsidRDefault="00E45C91" w:rsidP="00E45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“They have a full-time job, a good loan history, and very little debt. I think the bank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would grant them the loan.”</w:t>
            </w:r>
          </w:p>
          <w:p w14:paraId="3D69BC00" w14:textId="00E9F11C" w:rsidR="00D8504E" w:rsidRPr="002F051B" w:rsidRDefault="003D23C2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Il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a</w:t>
            </w:r>
            <w:r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un emploi à temps plein,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 bon historique</w:t>
            </w:r>
            <w:r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de prêts et très peu de dettes. Je pense que la banque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lui</w:t>
            </w:r>
            <w:r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accorderait le prêt. »)</w:t>
            </w:r>
          </w:p>
          <w:p w14:paraId="518AD9F8" w14:textId="77777777" w:rsidR="00FE6750" w:rsidRPr="0028676E" w:rsidRDefault="00FE6750" w:rsidP="00343BA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E05048" w14:textId="7B715507" w:rsidR="00E45C91" w:rsidRP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Analyzes the risks and benefits of borrowing money in a variety of situations</w:t>
            </w:r>
            <w:r w:rsidR="00CB32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474C72D" w14:textId="77777777" w:rsidR="00E45C91" w:rsidRP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631A44" w14:textId="77777777" w:rsidR="00E45C91" w:rsidRP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Jane wants a $200 loan to buy a new bicycle. Jane plans to pay it back in 3 monthly installments. Jane earns $50 per week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from their part-time job. </w:t>
            </w:r>
          </w:p>
          <w:p w14:paraId="3F09EE47" w14:textId="7938E0C5" w:rsidR="00E45C91" w:rsidRPr="00E45C91" w:rsidRDefault="00E45C91" w:rsidP="00E45C91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 w:rsidRPr="00E45C91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52DA7540" w14:textId="79E065A5" w:rsidR="00E45C91" w:rsidRPr="00E45C91" w:rsidRDefault="00E45C91" w:rsidP="00E45C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“Jane makes about $200 per month from their part-time job. A new bicycle will get Jane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and from their job. The repayment time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is reasonable. There is a risk that Jane loses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>her job and source of income.”</w:t>
            </w:r>
          </w:p>
          <w:p w14:paraId="1547FAC7" w14:textId="30A38989" w:rsidR="00FE6750" w:rsidRPr="00E72095" w:rsidRDefault="003D23C2" w:rsidP="00E45C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Jeanne gagne environ 200 $ par mois grâce à son emploi à temps partiel. Une nouvelle bicyclette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lui </w:t>
            </w:r>
            <w:r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permettra de se rendre à son travail et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en revenir. Le délai de remboursement est raisonnable.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Il y a un risque que </w:t>
            </w:r>
            <w:r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Jeanne perd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</w:t>
            </w:r>
            <w:r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son emploi et sa source de revenus. »)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9EF0B8" w14:textId="45D7E7AD" w:rsidR="00E45C91" w:rsidRPr="00E45C91" w:rsidRDefault="00E45C91" w:rsidP="00E45C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>Identifies situations where an individual can responsibly take on debt</w:t>
            </w:r>
            <w:r w:rsidR="00CB32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A85CA64" w14:textId="77777777" w:rsidR="00E45C91" w:rsidRPr="00E45C91" w:rsidRDefault="00E45C91" w:rsidP="00E45C91">
            <w:pPr>
              <w:tabs>
                <w:tab w:val="left" w:pos="4020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09B22870" w14:textId="3E3E904A" w:rsidR="00E45C91" w:rsidRPr="00E45C91" w:rsidRDefault="00E45C91" w:rsidP="00E45C9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t xml:space="preserve">“Jane makes about $200 per month,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so they should be able to pay back $200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over 3 months. It seems unlikely that Jane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will lose their job, and the risk of Jane not repaying the money seems low. I think Jane </w:t>
            </w:r>
            <w:r w:rsidRPr="00E45C91">
              <w:rPr>
                <w:rFonts w:ascii="Arial" w:hAnsi="Arial" w:cs="Arial"/>
                <w:color w:val="626365"/>
                <w:sz w:val="19"/>
                <w:szCs w:val="19"/>
              </w:rPr>
              <w:br/>
              <w:t>can responsibly take on the debt.”</w:t>
            </w:r>
            <w:r w:rsidR="003D23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3D23C2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Jeanne gagne environ 200 $ par mois, elle devrait donc être en mesure de rembourser 200 $ en 3 mois. Il semble peu probable que Jeanne perde son emploi et le risque qu</w:t>
            </w:r>
            <w:r w:rsidR="003D23C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3D23C2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elle ne rembourse pas l</w:t>
            </w:r>
            <w:r w:rsidR="003D23C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3D23C2" w:rsidRPr="009338A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semble faible. Je pense que Jeanne peut assumer cette dette de manière responsable. »)</w:t>
            </w:r>
          </w:p>
          <w:p w14:paraId="565662E6" w14:textId="0B157A7B" w:rsidR="00FE6750" w:rsidRPr="00E45C91" w:rsidRDefault="00FE6750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7C04" w14:paraId="38E65617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4060E" w14:paraId="44DB898B" w14:textId="77777777" w:rsidTr="003D23C2">
        <w:trPr>
          <w:trHeight w:hRule="exact" w:val="40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84060E" w:rsidRDefault="0084060E" w:rsidP="0084060E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84060E" w:rsidRDefault="0084060E" w:rsidP="0084060E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84060E" w:rsidRDefault="0084060E" w:rsidP="0084060E">
            <w:pPr>
              <w:rPr>
                <w:noProof/>
                <w:lang w:eastAsia="en-CA"/>
              </w:rPr>
            </w:pPr>
          </w:p>
        </w:tc>
      </w:tr>
    </w:tbl>
    <w:p w14:paraId="1FCAFD7A" w14:textId="2F48B12C" w:rsidR="00FE6750" w:rsidRDefault="00FE6750" w:rsidP="002461F7">
      <w:pPr>
        <w:rPr>
          <w:sz w:val="4"/>
          <w:szCs w:val="4"/>
        </w:rPr>
      </w:pPr>
    </w:p>
    <w:p w14:paraId="51B9266D" w14:textId="4703F6FE" w:rsidR="0084060E" w:rsidRDefault="0084060E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E274E7A" w14:textId="44FAA737" w:rsidR="0084060E" w:rsidRDefault="0084060E" w:rsidP="002461F7">
      <w:pPr>
        <w:rPr>
          <w:sz w:val="4"/>
          <w:szCs w:val="4"/>
        </w:rPr>
      </w:pPr>
    </w:p>
    <w:p w14:paraId="5EEDBD6C" w14:textId="6188CD45" w:rsidR="0084060E" w:rsidRDefault="0084060E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84060E" w:rsidRPr="00D7596A" w14:paraId="29966EFC" w14:textId="77777777" w:rsidTr="00CF75B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2E343B" w14:textId="77777777" w:rsidR="0084060E" w:rsidRDefault="0084060E" w:rsidP="00CF75B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Investing Money</w:t>
            </w:r>
          </w:p>
        </w:tc>
      </w:tr>
      <w:tr w:rsidR="0084060E" w:rsidRPr="002F051B" w14:paraId="3A2C7561" w14:textId="77777777" w:rsidTr="004D1CFC">
        <w:trPr>
          <w:trHeight w:hRule="exact" w:val="532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2C9231" w14:textId="06DFC2ED" w:rsidR="0084060E" w:rsidRPr="00A51743" w:rsidRDefault="0084060E" w:rsidP="00CF75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Defines the term investing and identifies some reasons why people invest money</w:t>
            </w:r>
            <w:r w:rsidR="00CB32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7F110B5" w14:textId="77777777" w:rsidR="0084060E" w:rsidRDefault="0084060E" w:rsidP="00CF75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1ABE5C" w14:textId="77777777" w:rsidR="0084060E" w:rsidRPr="00A51743" w:rsidRDefault="0084060E" w:rsidP="00CF75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05714A" w14:textId="65054FEE" w:rsidR="0084060E" w:rsidRPr="00A51743" w:rsidRDefault="0084060E" w:rsidP="00CF75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“I know that investing involves purchasing something that is expected to earn additional money or increase in value. Many people invest money for their retirement.”</w:t>
            </w:r>
            <w:r w:rsidR="004D1CF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4D1CFC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sais qu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4D1CFC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investir consiste à acheter quelque chose 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qui devrait nous permettre </w:t>
            </w:r>
            <w:r w:rsidR="004D1CFC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 gagner plus d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4D1CFC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argent ou 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qui devrait </w:t>
            </w:r>
            <w:r w:rsidR="004D1CFC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augmenter en valeur. Plusieurs personnes investissent de l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4D1CFC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en vue de leur retraite. »)</w:t>
            </w:r>
          </w:p>
          <w:p w14:paraId="16652759" w14:textId="77777777" w:rsidR="0084060E" w:rsidRPr="001E639A" w:rsidRDefault="0084060E" w:rsidP="00CF75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A33495" w14:textId="5145A0DD" w:rsidR="0084060E" w:rsidRPr="00A51743" w:rsidRDefault="0084060E" w:rsidP="00CF75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Identifies different types of investments and describes the general purpose/benefits of each</w:t>
            </w:r>
            <w:r w:rsidR="00CB32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D251B43" w14:textId="77777777" w:rsidR="0084060E" w:rsidRDefault="0084060E" w:rsidP="00CF75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9398BC" w14:textId="77777777" w:rsidR="0084060E" w:rsidRPr="00A51743" w:rsidRDefault="0084060E" w:rsidP="00CF75B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570B09" w14:textId="4433C069" w:rsidR="0084060E" w:rsidRPr="00A51743" w:rsidRDefault="0084060E" w:rsidP="00CF75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“People can buy stocks and when they do, they have ownership in the company. They can earn money through dividends and capital gains.”</w:t>
            </w:r>
            <w:r w:rsidR="004D1CF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4D1CFC" w:rsidRPr="000D2B0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Les gens peuvent acheter des actions et lorsqu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4D1CFC" w:rsidRPr="000D2B0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ils le font, ils possèdent une partie de la compagnie. Ils peuvent gagner de l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4D1CFC" w:rsidRPr="000D2B0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argent grâce à des dividendes et à des 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gains en capital</w:t>
            </w:r>
            <w:r w:rsidR="004D1CFC" w:rsidRPr="000D2B0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0E1DF138" w14:textId="77777777" w:rsidR="0084060E" w:rsidRPr="00003E47" w:rsidRDefault="0084060E" w:rsidP="00CF75B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BBA053" w14:textId="773922E9" w:rsidR="0084060E" w:rsidRPr="00A51743" w:rsidRDefault="0084060E" w:rsidP="00CF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Analyzes the risks associated with each type of investment</w:t>
            </w:r>
            <w:r w:rsidR="00CB32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20265B9" w14:textId="77777777" w:rsidR="0084060E" w:rsidRDefault="0084060E" w:rsidP="00CF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052E52" w14:textId="77777777" w:rsidR="0084060E" w:rsidRPr="00A51743" w:rsidRDefault="0084060E" w:rsidP="00CF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CEB789" w14:textId="46232033" w:rsidR="0084060E" w:rsidRPr="00A51743" w:rsidRDefault="0084060E" w:rsidP="00CF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“Stocks can provide relatively high returns, but there is a higher risk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of losing some or all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of the investment. They are affected by the economy and by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the company’s performance.”</w:t>
            </w:r>
            <w:r w:rsidR="004D1CF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4D1CFC" w:rsidRPr="00A74A9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Les actions peuvent offrir des rendements relativement élevés, mais le risque de perdre une partie ou tout l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4D1CFC" w:rsidRPr="00A74A9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investissement est élevé. Les actions sont influencées par l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4D1CFC" w:rsidRPr="00A74A9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économie et par la performance de la compagnie. »)</w:t>
            </w:r>
          </w:p>
          <w:p w14:paraId="61E2207F" w14:textId="77777777" w:rsidR="0084060E" w:rsidRPr="00003E47" w:rsidRDefault="0084060E" w:rsidP="00CF75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583B3" w14:textId="65FD42AC" w:rsidR="0084060E" w:rsidRPr="00A51743" w:rsidRDefault="0084060E" w:rsidP="00CF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Analyzes the risks and benefits associated with different investment opportunities to make reasonable investment choices</w:t>
            </w:r>
            <w:r w:rsidR="00CB32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D9A4284" w14:textId="77777777" w:rsidR="0084060E" w:rsidRPr="00A51743" w:rsidRDefault="0084060E" w:rsidP="00CF7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D25B4A" w14:textId="4440D334" w:rsidR="0084060E" w:rsidRPr="00003E47" w:rsidRDefault="0084060E" w:rsidP="00A05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stocks often involve high risk, but I think electric vehicles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are the way of the future.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So, I will buy stocks in a company that makes electric vehicle battery cells. I will only spend $2000 because I can afford to lose that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if I am wrong.”</w:t>
            </w:r>
            <w:r w:rsidR="004D1CF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4D1CFC" w:rsidRPr="00AE065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sais que les actions comportent souvent un risque élevé, mais je pense que les véhicules électriques sont la voie de l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4D1CFC" w:rsidRPr="00AE065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avenir. Je vais donc acheter des actions d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4D1CFC" w:rsidRPr="00AE065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une compagnie qui fabrique des cellules de batteries pour véhicules électriques. Je ne dépenserai que 2</w:t>
            </w:r>
            <w:r w:rsidR="004D1C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4D1CFC" w:rsidRPr="00AE065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000 $, car je peux me permettre de perdre cette somme si je me trompe. »)</w:t>
            </w:r>
          </w:p>
          <w:p w14:paraId="6004FB60" w14:textId="77777777" w:rsidR="0084060E" w:rsidRPr="00C54157" w:rsidRDefault="0084060E" w:rsidP="00CF75B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4060E" w14:paraId="503F9674" w14:textId="77777777" w:rsidTr="00CF75BA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9FEC78" w14:textId="77777777" w:rsidR="0084060E" w:rsidRPr="006C0F0C" w:rsidRDefault="0084060E" w:rsidP="00CF75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4060E" w14:paraId="52389F80" w14:textId="77777777" w:rsidTr="004D1CFC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7BB855" w14:textId="77777777" w:rsidR="0084060E" w:rsidRPr="006C0F0C" w:rsidRDefault="0084060E" w:rsidP="00CF75B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5B66B3" w14:textId="77777777" w:rsidR="0084060E" w:rsidRPr="006C0F0C" w:rsidRDefault="0084060E" w:rsidP="00CF75B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7FC85C" w14:textId="77777777" w:rsidR="0084060E" w:rsidRPr="006C0F0C" w:rsidRDefault="0084060E" w:rsidP="00CF75B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36110B" w14:textId="77777777" w:rsidR="0084060E" w:rsidRPr="006C0F0C" w:rsidRDefault="0084060E" w:rsidP="00CF75B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837C5A1" w14:textId="77777777" w:rsidR="0084060E" w:rsidRPr="00AA5CD1" w:rsidRDefault="0084060E" w:rsidP="002461F7">
      <w:pPr>
        <w:rPr>
          <w:sz w:val="4"/>
          <w:szCs w:val="4"/>
        </w:rPr>
      </w:pPr>
    </w:p>
    <w:sectPr w:rsidR="0084060E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C80F" w14:textId="77777777" w:rsidR="00C8316C" w:rsidRDefault="00C8316C" w:rsidP="00CA2529">
      <w:pPr>
        <w:spacing w:after="0" w:line="240" w:lineRule="auto"/>
      </w:pPr>
      <w:r>
        <w:separator/>
      </w:r>
    </w:p>
  </w:endnote>
  <w:endnote w:type="continuationSeparator" w:id="0">
    <w:p w14:paraId="1C1F80D8" w14:textId="77777777" w:rsidR="00C8316C" w:rsidRDefault="00C8316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B6264B2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D22C1A">
      <w:rPr>
        <w:rFonts w:ascii="Arial" w:hAnsi="Arial" w:cs="Arial"/>
        <w:b/>
        <w:sz w:val="15"/>
        <w:szCs w:val="15"/>
      </w:rPr>
      <w:t>6</w:t>
    </w:r>
    <w:r w:rsidR="00AA4297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A4297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2B7C" w14:textId="77777777" w:rsidR="00C8316C" w:rsidRDefault="00C8316C" w:rsidP="00CA2529">
      <w:pPr>
        <w:spacing w:after="0" w:line="240" w:lineRule="auto"/>
      </w:pPr>
      <w:r>
        <w:separator/>
      </w:r>
    </w:p>
  </w:footnote>
  <w:footnote w:type="continuationSeparator" w:id="0">
    <w:p w14:paraId="1C355B5A" w14:textId="77777777" w:rsidR="00C8316C" w:rsidRDefault="00C8316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6C9C58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099F">
      <w:rPr>
        <w:rFonts w:ascii="Arial" w:hAnsi="Arial" w:cs="Arial"/>
        <w:b/>
        <w:sz w:val="36"/>
        <w:szCs w:val="36"/>
      </w:rPr>
      <w:t>2</w:t>
    </w:r>
    <w:r w:rsidR="0084060E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B65ABA6" w:rsidR="00CA2529" w:rsidRPr="00E71CBF" w:rsidRDefault="0084060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Financial Literacy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17A"/>
    <w:rsid w:val="00034F6B"/>
    <w:rsid w:val="00050E5C"/>
    <w:rsid w:val="00053328"/>
    <w:rsid w:val="000733E7"/>
    <w:rsid w:val="0008174D"/>
    <w:rsid w:val="00097C8F"/>
    <w:rsid w:val="000A7CB7"/>
    <w:rsid w:val="000C2970"/>
    <w:rsid w:val="000C7349"/>
    <w:rsid w:val="000D7137"/>
    <w:rsid w:val="000F43C1"/>
    <w:rsid w:val="00112FF1"/>
    <w:rsid w:val="001168AC"/>
    <w:rsid w:val="001726BA"/>
    <w:rsid w:val="00192706"/>
    <w:rsid w:val="001A7920"/>
    <w:rsid w:val="00207CC0"/>
    <w:rsid w:val="002461F7"/>
    <w:rsid w:val="00254851"/>
    <w:rsid w:val="00270D20"/>
    <w:rsid w:val="002728A8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43BA5"/>
    <w:rsid w:val="00345039"/>
    <w:rsid w:val="00364E65"/>
    <w:rsid w:val="0038099F"/>
    <w:rsid w:val="003D23C2"/>
    <w:rsid w:val="003E57E8"/>
    <w:rsid w:val="00405BDC"/>
    <w:rsid w:val="00424F12"/>
    <w:rsid w:val="00481DFC"/>
    <w:rsid w:val="00483555"/>
    <w:rsid w:val="00492BA6"/>
    <w:rsid w:val="004959B6"/>
    <w:rsid w:val="004C26F0"/>
    <w:rsid w:val="004D1CFC"/>
    <w:rsid w:val="004E1F85"/>
    <w:rsid w:val="00500965"/>
    <w:rsid w:val="00520506"/>
    <w:rsid w:val="0052693C"/>
    <w:rsid w:val="00543A9A"/>
    <w:rsid w:val="00581577"/>
    <w:rsid w:val="005B3A77"/>
    <w:rsid w:val="005B7D0F"/>
    <w:rsid w:val="005E7C04"/>
    <w:rsid w:val="006175D4"/>
    <w:rsid w:val="00646BA4"/>
    <w:rsid w:val="00652680"/>
    <w:rsid w:val="00661689"/>
    <w:rsid w:val="0068193A"/>
    <w:rsid w:val="00696ABC"/>
    <w:rsid w:val="006B210D"/>
    <w:rsid w:val="007137A0"/>
    <w:rsid w:val="00733E9A"/>
    <w:rsid w:val="00741178"/>
    <w:rsid w:val="0076731B"/>
    <w:rsid w:val="007A6B78"/>
    <w:rsid w:val="007C1830"/>
    <w:rsid w:val="00832B16"/>
    <w:rsid w:val="0084060E"/>
    <w:rsid w:val="00882F42"/>
    <w:rsid w:val="008C7653"/>
    <w:rsid w:val="00916F38"/>
    <w:rsid w:val="0092323E"/>
    <w:rsid w:val="009249A6"/>
    <w:rsid w:val="00945061"/>
    <w:rsid w:val="00994C77"/>
    <w:rsid w:val="009B6FF8"/>
    <w:rsid w:val="00A05008"/>
    <w:rsid w:val="00A107AF"/>
    <w:rsid w:val="00A43E96"/>
    <w:rsid w:val="00A520C1"/>
    <w:rsid w:val="00A6046E"/>
    <w:rsid w:val="00A734E3"/>
    <w:rsid w:val="00A73B2F"/>
    <w:rsid w:val="00A76BB6"/>
    <w:rsid w:val="00AA4297"/>
    <w:rsid w:val="00AA5CD1"/>
    <w:rsid w:val="00AB3BC0"/>
    <w:rsid w:val="00AE494A"/>
    <w:rsid w:val="00B9593A"/>
    <w:rsid w:val="00BA072D"/>
    <w:rsid w:val="00BA0E1B"/>
    <w:rsid w:val="00BA10A4"/>
    <w:rsid w:val="00BD5ACB"/>
    <w:rsid w:val="00BE7BA6"/>
    <w:rsid w:val="00BF093C"/>
    <w:rsid w:val="00C066E8"/>
    <w:rsid w:val="00C72956"/>
    <w:rsid w:val="00C8316C"/>
    <w:rsid w:val="00C85AE2"/>
    <w:rsid w:val="00C95044"/>
    <w:rsid w:val="00C957B8"/>
    <w:rsid w:val="00CA2529"/>
    <w:rsid w:val="00CB2021"/>
    <w:rsid w:val="00CB32C2"/>
    <w:rsid w:val="00CC1BEA"/>
    <w:rsid w:val="00CD2187"/>
    <w:rsid w:val="00CF26E9"/>
    <w:rsid w:val="00CF3ED1"/>
    <w:rsid w:val="00CF50A9"/>
    <w:rsid w:val="00D22C1A"/>
    <w:rsid w:val="00D7596A"/>
    <w:rsid w:val="00D8504E"/>
    <w:rsid w:val="00DA1368"/>
    <w:rsid w:val="00DB4EC8"/>
    <w:rsid w:val="00DD2900"/>
    <w:rsid w:val="00DD6F23"/>
    <w:rsid w:val="00E16179"/>
    <w:rsid w:val="00E21EE5"/>
    <w:rsid w:val="00E45C91"/>
    <w:rsid w:val="00E45E3B"/>
    <w:rsid w:val="00E613E3"/>
    <w:rsid w:val="00E71CBF"/>
    <w:rsid w:val="00E72095"/>
    <w:rsid w:val="00E84898"/>
    <w:rsid w:val="00EE29C2"/>
    <w:rsid w:val="00F10556"/>
    <w:rsid w:val="00F157F4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  <w:style w:type="character" w:customStyle="1" w:styleId="ui-provider">
    <w:name w:val="ui-provider"/>
    <w:basedOn w:val="DefaultParagraphFont"/>
    <w:rsid w:val="00D22C1A"/>
  </w:style>
  <w:style w:type="character" w:customStyle="1" w:styleId="normaltextrun">
    <w:name w:val="normaltextrun"/>
    <w:basedOn w:val="DefaultParagraphFont"/>
    <w:rsid w:val="00882F42"/>
  </w:style>
  <w:style w:type="character" w:customStyle="1" w:styleId="eop">
    <w:name w:val="eop"/>
    <w:basedOn w:val="DefaultParagraphFont"/>
    <w:rsid w:val="0088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B8790-3CB5-49B5-8EFF-5E27C63F1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12</cp:revision>
  <cp:lastPrinted>2016-08-23T12:28:00Z</cp:lastPrinted>
  <dcterms:created xsi:type="dcterms:W3CDTF">2023-07-25T11:49:00Z</dcterms:created>
  <dcterms:modified xsi:type="dcterms:W3CDTF">2023-10-23T16:03:00Z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