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E51" w14:textId="540DEFE4" w:rsidR="00B33D6B" w:rsidRDefault="00B33D6B" w:rsidP="00B33D6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2F59EE52" wp14:editId="28187B5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109F8EE2" w14:textId="0928CD0B" w:rsidR="00B33D6B" w:rsidRDefault="00B33D6B" w:rsidP="00B33D6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 nombre)</w:t>
      </w:r>
    </w:p>
    <w:p w14:paraId="7B3633ED" w14:textId="77777777" w:rsidR="007174F8" w:rsidRPr="00844CC5" w:rsidRDefault="007174F8" w:rsidP="00B33D6B">
      <w:pPr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2F713A" w14:paraId="7B3633F2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EE" w14:textId="0F562B60" w:rsidR="00DC08C1" w:rsidRPr="008241C0" w:rsidRDefault="00723A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EF" w14:textId="3099BC5A" w:rsidR="00DC08C1" w:rsidRPr="008241C0" w:rsidRDefault="00723AAC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F1" w14:textId="22740498" w:rsidR="00DC08C1" w:rsidRPr="002D170B" w:rsidRDefault="002D170B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DC08C1" w:rsidRPr="002F713A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9DAC" w14:textId="357F7C2C" w:rsidR="00DC08C1" w:rsidRPr="001E6367" w:rsidRDefault="00667D1D" w:rsidP="00D94A3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7B839C4E" w14:textId="03C70FB8" w:rsidR="00DC08C1" w:rsidRPr="001E6367" w:rsidRDefault="006D0DC7" w:rsidP="00D94A3F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le sens du nombre</w:t>
            </w:r>
            <w:r w:rsidR="00DC08C1"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6EB6A36D" w14:textId="757EF227" w:rsidR="00DC08C1" w:rsidRPr="001E6367" w:rsidRDefault="00667D1D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4226219B" w:rsidR="00DC08C1" w:rsidRPr="001E6367" w:rsidRDefault="00DC08C1" w:rsidP="00B92B0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1E636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9397E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naturels (nombres entiers positifs) 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9397E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</w:t>
            </w:r>
            <w:r w:rsidRPr="001E636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1E6367" w:rsidRDefault="00DC08C1" w:rsidP="00E2711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1E6367" w:rsidRDefault="00DC08C1" w:rsidP="00D94A3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84F2" w14:textId="77777777" w:rsidR="00D73373" w:rsidRPr="001E6367" w:rsidRDefault="00D73373" w:rsidP="00D73373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73E90C21" w14:textId="77777777" w:rsidR="00D73373" w:rsidRPr="001E6367" w:rsidRDefault="00D73373" w:rsidP="00D73373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Représenter des nombres plus grands</w:t>
            </w:r>
          </w:p>
          <w:p w14:paraId="7B3633F8" w14:textId="40CCFE86" w:rsidR="00DC08C1" w:rsidRPr="001E6367" w:rsidRDefault="00D73373" w:rsidP="00D73373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Comparer des nombres plus grands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734A" w14:textId="6FDBCB6C" w:rsidR="002F713A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Approfondir sa compréhension des nombres entiers 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1 000 000.</w:t>
            </w:r>
          </w:p>
          <w:p w14:paraId="592297CD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1F267CF9" w14:textId="55FAFDAE" w:rsidR="002F713A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entiers en se basant sur la compréhension de la valeur de position et les écrire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symboles &lt;, =, &gt;.</w:t>
            </w:r>
          </w:p>
          <w:p w14:paraId="22952CB5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4FE0E3D6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Composer et décomposer des nombres pour étudier les équivalences</w:t>
            </w:r>
          </w:p>
          <w:p w14:paraId="0191588C" w14:textId="77777777" w:rsidR="002F713A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Composer et décomposer des nombres entiers en les divisant de manière standard et non standard (p. ex., 1 000 correspond à 10 centaines ou 100 dizaines).</w:t>
            </w:r>
          </w:p>
          <w:p w14:paraId="3FFE9121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24128784" w14:textId="77777777" w:rsidR="002F713A" w:rsidRPr="001E6367" w:rsidRDefault="002F713A" w:rsidP="002F713A">
            <w:pPr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Écrire et lire des nombres entiers sous plusieurs formes </w:t>
            </w:r>
            <w:r w:rsidRPr="001E6367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cent-cinquante-huit; </w:t>
            </w:r>
            <w:r w:rsidRPr="001E6367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6B990754" w:rsidR="00DC08C1" w:rsidRPr="001E6367" w:rsidRDefault="002F713A" w:rsidP="002F713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</w:p>
        </w:tc>
      </w:tr>
    </w:tbl>
    <w:p w14:paraId="209E7474" w14:textId="77777777" w:rsidR="00803E9B" w:rsidRPr="002F713A" w:rsidRDefault="00803E9B">
      <w:pPr>
        <w:rPr>
          <w:rFonts w:asciiTheme="majorHAnsi" w:hAnsiTheme="majorHAnsi" w:cstheme="majorHAnsi"/>
          <w:sz w:val="20"/>
          <w:szCs w:val="20"/>
          <w:lang w:val="fr-CA"/>
        </w:rPr>
      </w:pPr>
      <w:r w:rsidRPr="002F713A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2F713A" w14:paraId="7B363414" w14:textId="77777777" w:rsidTr="00A47CFF">
        <w:tc>
          <w:tcPr>
            <w:tcW w:w="3685" w:type="dxa"/>
            <w:shd w:val="clear" w:color="auto" w:fill="auto"/>
          </w:tcPr>
          <w:p w14:paraId="7B36340B" w14:textId="692F9975" w:rsidR="00DC08C1" w:rsidRPr="001E6367" w:rsidRDefault="00DC08C1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2.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447442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47442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 dans des contextes de résolution de problèmes</w:t>
            </w:r>
            <w:r w:rsidR="007C292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315A371" w14:textId="77777777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002C0F54" w14:textId="77777777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 : Faire une estimation pour résoudre des problèmes</w:t>
            </w:r>
          </w:p>
          <w:p w14:paraId="3554C4DC" w14:textId="3C7D3C23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1011005F" w14:textId="77777777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Estimer des sommes et des différences</w:t>
            </w:r>
          </w:p>
          <w:p w14:paraId="7747F335" w14:textId="77777777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1E4A2906" w14:textId="5552AADF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08BCD3DD" w14:textId="1E148CE5" w:rsidR="00212433" w:rsidRPr="001E6367" w:rsidRDefault="00D73373" w:rsidP="009B04F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7B36340C" w14:textId="3468F835" w:rsidR="00DC08C1" w:rsidRPr="001E6367" w:rsidRDefault="00DC08C1" w:rsidP="009B04F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0A5FFA1B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1F0A86DF" w14:textId="37DEE3F1" w:rsidR="002F713A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entiers en se basant sur la compréhension de la valeur de position et les écrire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symboles &lt;, =, &gt;.</w:t>
            </w:r>
          </w:p>
          <w:p w14:paraId="71E4E12A" w14:textId="77777777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749F0563" w14:textId="0729FAE5" w:rsidR="002F713A" w:rsidRPr="001E6367" w:rsidRDefault="002F713A" w:rsidP="002F71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éléments.</w:t>
            </w:r>
          </w:p>
          <w:p w14:paraId="139E8DFF" w14:textId="77777777" w:rsidR="002F713A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1E6367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Prolonger les modèles de calcul des nombres entiers à de plus grands nombres.</w:t>
            </w:r>
          </w:p>
          <w:p w14:paraId="7B363413" w14:textId="2A78522C" w:rsidR="00DC08C1" w:rsidRPr="001E6367" w:rsidRDefault="002F713A" w:rsidP="002F71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le résultat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autobus sont nécessaires pour amener les classes de 8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e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année au musée ?).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E6367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transaction </w:t>
            </w:r>
            <w:r w:rsidRPr="001E6367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D85654" w14:paraId="7B36341E" w14:textId="77777777" w:rsidTr="00A47CFF">
        <w:tc>
          <w:tcPr>
            <w:tcW w:w="3685" w:type="dxa"/>
            <w:shd w:val="clear" w:color="auto" w:fill="auto"/>
          </w:tcPr>
          <w:p w14:paraId="7B363415" w14:textId="2C501E7E" w:rsidR="00DC08C1" w:rsidRPr="001E6367" w:rsidRDefault="00DC08C1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3. </w:t>
            </w:r>
            <w:r w:rsidR="00447442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et des propriétés du nombre pour comprendre et se rappeler les faits de multiplication (les tables de multiplication), 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47442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81 et les faits de division correspondants.</w:t>
            </w:r>
          </w:p>
        </w:tc>
        <w:tc>
          <w:tcPr>
            <w:tcW w:w="2700" w:type="dxa"/>
            <w:shd w:val="clear" w:color="auto" w:fill="auto"/>
          </w:tcPr>
          <w:p w14:paraId="6E38AB19" w14:textId="7DC5BDDA" w:rsidR="00D73373" w:rsidRPr="001E6367" w:rsidRDefault="00D73373" w:rsidP="009B04F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2F4401FF" w14:textId="0F08D645" w:rsidR="00DC08C1" w:rsidRPr="001E6367" w:rsidRDefault="00D73373" w:rsidP="009B04F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 : Relier les faits de multiplication et de division</w:t>
            </w:r>
          </w:p>
          <w:p w14:paraId="7B363416" w14:textId="77777777" w:rsidR="00DC08C1" w:rsidRPr="001E6367" w:rsidRDefault="00DC08C1" w:rsidP="009B04F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073BAD7E" w14:textId="00784F0C" w:rsidR="00D85654" w:rsidRPr="001E6367" w:rsidRDefault="00D85654" w:rsidP="00D8565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177B61E4" w14:textId="4DC23EFA" w:rsidR="00D85654" w:rsidRPr="001E6367" w:rsidRDefault="00D85654" w:rsidP="00D8565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Reconnaître et créer des expressions numériques équivalentes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associativité.</w:t>
            </w:r>
          </w:p>
          <w:p w14:paraId="7B36341D" w14:textId="45FAC11B" w:rsidR="00DC08C1" w:rsidRPr="001E6367" w:rsidRDefault="00D85654" w:rsidP="00D856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les relations dans les opérations (p. ex., la relation inverse entre la multiplication et la division ou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la soustraction).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la nature des opérations (p. ex., 5 + 0 = 5; 7 × 1 = 7).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Se rappeler aisément les faits de multiplication et de division 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100.</w:t>
            </w:r>
          </w:p>
        </w:tc>
      </w:tr>
      <w:tr w:rsidR="00DC08C1" w:rsidRPr="001B5F67" w14:paraId="7B363426" w14:textId="77777777" w:rsidTr="00A47CFF">
        <w:tc>
          <w:tcPr>
            <w:tcW w:w="3685" w:type="dxa"/>
            <w:shd w:val="clear" w:color="auto" w:fill="auto"/>
          </w:tcPr>
          <w:p w14:paraId="7B36341F" w14:textId="3C1C3467" w:rsidR="00DC08C1" w:rsidRPr="001E6367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4. </w:t>
            </w:r>
            <w:r w:rsidR="00447442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pour la multiplication</w:t>
            </w:r>
            <w:r w:rsidR="00C213FB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74F22CC" w14:textId="0177C512" w:rsidR="00D73373" w:rsidRPr="001E6367" w:rsidRDefault="00D73373" w:rsidP="00D73373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41F6C221" w14:textId="77777777" w:rsidR="00D73373" w:rsidRPr="001E6367" w:rsidRDefault="00D73373" w:rsidP="00D73373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7B363420" w14:textId="3282338C" w:rsidR="008925F9" w:rsidRPr="001E6367" w:rsidRDefault="00D73373" w:rsidP="00D73373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 : Des stratégies pour multiplier des nombres plus grands</w:t>
            </w:r>
          </w:p>
        </w:tc>
        <w:tc>
          <w:tcPr>
            <w:tcW w:w="3618" w:type="dxa"/>
            <w:shd w:val="clear" w:color="auto" w:fill="auto"/>
          </w:tcPr>
          <w:p w14:paraId="698821A8" w14:textId="46473182" w:rsidR="001B5F67" w:rsidRPr="001E6367" w:rsidRDefault="001B5F67" w:rsidP="001B5F6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26800AEA" w14:textId="77777777" w:rsidR="001B5F67" w:rsidRPr="001E6367" w:rsidRDefault="001B5F67" w:rsidP="001B5F6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6367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Comprendre et expliquer le résultat de la multiplication et de la division de nombres entiers par des puissances de 10.</w:t>
            </w:r>
          </w:p>
          <w:p w14:paraId="7B363425" w14:textId="192F8788" w:rsidR="00DC08C1" w:rsidRPr="001E6367" w:rsidRDefault="001B5F67" w:rsidP="001B5F6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</w:tc>
      </w:tr>
      <w:tr w:rsidR="00DC08C1" w:rsidRPr="001B5F67" w14:paraId="7B36342F" w14:textId="77777777" w:rsidTr="00A47CFF">
        <w:tc>
          <w:tcPr>
            <w:tcW w:w="3685" w:type="dxa"/>
            <w:shd w:val="clear" w:color="auto" w:fill="auto"/>
          </w:tcPr>
          <w:p w14:paraId="6ACF7B1F" w14:textId="0D0348EC" w:rsidR="00DC08C1" w:rsidRPr="001E6367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76F33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Démontrer, avec et sans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76F33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manipulation, une compréhension de la multiplication de nombres (deux chiffres par deux chiffres) pour résoudre des problèmes</w:t>
            </w:r>
            <w:r w:rsidR="00C213FB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13760CFE" w14:textId="77777777" w:rsidR="00DC08C1" w:rsidRPr="001E6367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1E6367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623075D" w14:textId="7AC3D32A" w:rsidR="00A9349D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7B363428" w14:textId="08DE3D7A" w:rsidR="00DC08C1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 : Multiplier des nombres entiers</w:t>
            </w:r>
          </w:p>
        </w:tc>
        <w:tc>
          <w:tcPr>
            <w:tcW w:w="3618" w:type="dxa"/>
            <w:shd w:val="clear" w:color="auto" w:fill="auto"/>
          </w:tcPr>
          <w:p w14:paraId="5512E8A1" w14:textId="305A7B2B" w:rsidR="001B5F67" w:rsidRPr="001E6367" w:rsidRDefault="001B5F67" w:rsidP="001B5F6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  <w:p w14:paraId="7B36342E" w14:textId="64E67797" w:rsidR="00DC08C1" w:rsidRPr="001E6367" w:rsidRDefault="001B5F67" w:rsidP="001B5F6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Résoudre des calculs de nombres entiers en utilisant des stratégies efficaces (p. ex., faire un calcul mental, utiliser des algorithmes, calculer le coût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1B675C" w14:paraId="7B363437" w14:textId="77777777" w:rsidTr="00A47CFF">
        <w:tc>
          <w:tcPr>
            <w:tcW w:w="3685" w:type="dxa"/>
            <w:shd w:val="clear" w:color="auto" w:fill="auto"/>
          </w:tcPr>
          <w:p w14:paraId="34110C6A" w14:textId="653CC515" w:rsidR="00DC08C1" w:rsidRPr="001E6367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6.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76F33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Démontrer, avec et sans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76F33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concret, une compréhension de la division de nombres (trois chiffres par un chiffre) et interpréter les restes pour résoudre des problèmes</w:t>
            </w:r>
            <w:r w:rsidR="00C213FB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0" w14:textId="432A9B4C" w:rsidR="00DC08C1" w:rsidRPr="001E6367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FE0B461" w14:textId="25FE511C" w:rsidR="00A9349D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7B363431" w14:textId="3A749853" w:rsidR="00DC08C1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 : Diviser des nombres plus grands</w:t>
            </w:r>
          </w:p>
        </w:tc>
        <w:tc>
          <w:tcPr>
            <w:tcW w:w="3618" w:type="dxa"/>
            <w:shd w:val="clear" w:color="auto" w:fill="auto"/>
          </w:tcPr>
          <w:p w14:paraId="5B8BE88A" w14:textId="7CE04100" w:rsidR="001B675C" w:rsidRPr="001E6367" w:rsidRDefault="001B675C" w:rsidP="001B67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2164CC27" w14:textId="77777777" w:rsidR="001B675C" w:rsidRPr="001E6367" w:rsidRDefault="001B675C" w:rsidP="001B67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  <w:p w14:paraId="7B363436" w14:textId="628DF7E9" w:rsidR="00DC08C1" w:rsidRPr="001E6367" w:rsidRDefault="001B675C" w:rsidP="001B67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Résoudre des calculs de nombres entiers en utilisant des stratégies efficaces (p. ex., faire un calcul mental, utiliser des algorithmes, calculer le coût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29097C" w14:paraId="7B363440" w14:textId="77777777" w:rsidTr="00A47CFF">
        <w:tc>
          <w:tcPr>
            <w:tcW w:w="3685" w:type="dxa"/>
            <w:shd w:val="clear" w:color="auto" w:fill="auto"/>
          </w:tcPr>
          <w:p w14:paraId="28965326" w14:textId="0F070B55" w:rsidR="00A65366" w:rsidRPr="001E6367" w:rsidRDefault="003D6347" w:rsidP="00A6536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7.</w:t>
            </w:r>
            <w:r w:rsidRPr="001E636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65366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65366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concrètes, imagées et symboliques pour :</w:t>
            </w:r>
          </w:p>
          <w:p w14:paraId="3B154960" w14:textId="77777777" w:rsidR="00A65366" w:rsidRPr="001E6367" w:rsidRDefault="00A65366" w:rsidP="00C9362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créer des ensembles de fractions équivalentes;</w:t>
            </w:r>
          </w:p>
          <w:p w14:paraId="7B363438" w14:textId="63F14C9F" w:rsidR="00DC08C1" w:rsidRPr="001E6367" w:rsidRDefault="00A65366" w:rsidP="00C9362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ayant un dénominateur commun ou des dénominateurs différents.</w:t>
            </w:r>
          </w:p>
        </w:tc>
        <w:tc>
          <w:tcPr>
            <w:tcW w:w="2700" w:type="dxa"/>
            <w:shd w:val="clear" w:color="auto" w:fill="auto"/>
          </w:tcPr>
          <w:p w14:paraId="23A5029F" w14:textId="77777777" w:rsidR="00A9349D" w:rsidRPr="001E6367" w:rsidRDefault="00A9349D" w:rsidP="00A9349D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 xml:space="preserve">Le nombre, unité 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0C624FED" w14:textId="77777777" w:rsidR="00A9349D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Les fractions équivalentes</w:t>
            </w:r>
          </w:p>
          <w:p w14:paraId="7B363439" w14:textId="32A0F97C" w:rsidR="003D6347" w:rsidRPr="001E6367" w:rsidRDefault="00A9349D" w:rsidP="00A9349D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12 : Comparer et ordonner des fractions</w:t>
            </w:r>
          </w:p>
        </w:tc>
        <w:tc>
          <w:tcPr>
            <w:tcW w:w="3618" w:type="dxa"/>
            <w:shd w:val="clear" w:color="auto" w:fill="auto"/>
          </w:tcPr>
          <w:p w14:paraId="50DCC08C" w14:textId="69E0C617" w:rsidR="0029097C" w:rsidRPr="001E6367" w:rsidRDefault="000C4E15" w:rsidP="0029097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Les nombres sont reliés de plusieurs façons.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1E6367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&gt;</w:t>
            </w:r>
            <w:r w:rsidRPr="001E6367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parce que les cinquièmes sont des parties plus grandes).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Comparer, ordonner et situer des fractions en utilisant des stratégies </w:t>
            </w:r>
            <w:r w:rsidRPr="001E6367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="00590F77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29097C"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="0029097C"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taille et la magnitude des fractions en les comparant à des repères.</w:t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29097C"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Déterminer et générer des fractions équivalentes en utilisant des stratégies flexibles (p. ex., représenter la même partie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9097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3FD39FDD" w14:textId="77777777" w:rsidR="0029097C" w:rsidRPr="001E6367" w:rsidRDefault="0029097C" w:rsidP="0029097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Séparer des quantités pour former des fractions</w:t>
            </w:r>
          </w:p>
          <w:p w14:paraId="7B36343F" w14:textId="5A2F791B" w:rsidR="00A50FAD" w:rsidRPr="001E6367" w:rsidRDefault="0029097C" w:rsidP="00A77BB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DC08C1" w:rsidRPr="00CB289A" w14:paraId="52B11EA8" w14:textId="77777777" w:rsidTr="00A47CFF">
        <w:tc>
          <w:tcPr>
            <w:tcW w:w="3685" w:type="dxa"/>
            <w:shd w:val="clear" w:color="auto" w:fill="auto"/>
          </w:tcPr>
          <w:p w14:paraId="0D488CB4" w14:textId="1124C69E" w:rsidR="00DC08C1" w:rsidRPr="007418B7" w:rsidRDefault="00A77BB1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418B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8. </w:t>
            </w:r>
            <w:r w:rsidR="00C9362E" w:rsidRPr="007418B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représenter des nombres décimaux (dixièmes, centièmes et millièmes),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18180B32" w14:textId="77777777" w:rsidR="00A9349D" w:rsidRPr="003E6A5B" w:rsidRDefault="00A9349D" w:rsidP="009B04F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334A984D" w14:textId="6D723642" w:rsidR="00DC08C1" w:rsidRPr="007418B7" w:rsidRDefault="00A9349D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4D964C1B" w:rsidR="00DC08C1" w:rsidRPr="00CB289A" w:rsidRDefault="00CB289A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.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54D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4497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Élargir sa compréhension des nombres décimaux aux millièmes.</w:t>
            </w:r>
            <w:r w:rsidRPr="008854D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406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5406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A174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1610D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1610D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t>Composer et décomposer des nombres décimaux en les divisant de manière standard et non standard (p. ex., 1,6 correspond à 16 dixièmes ou 0,16 dizaine).</w:t>
            </w:r>
          </w:p>
          <w:p w14:paraId="0D9D1587" w14:textId="77777777" w:rsidR="00CB289A" w:rsidRPr="00991358" w:rsidRDefault="00CB289A" w:rsidP="00CB289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Regrouper des quantités en unités de base 10</w:t>
            </w:r>
          </w:p>
          <w:p w14:paraId="2F98942D" w14:textId="77777777" w:rsidR="00E576D5" w:rsidRDefault="00CB289A" w:rsidP="00CB289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759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  <w:p w14:paraId="4FC1A3AE" w14:textId="595A0791" w:rsidR="00C63650" w:rsidRPr="00CB289A" w:rsidRDefault="00C63650" w:rsidP="00CB289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</w:tr>
      <w:tr w:rsidR="00DC08C1" w:rsidRPr="00327784" w14:paraId="52505A61" w14:textId="77777777" w:rsidTr="00A47CFF">
        <w:tc>
          <w:tcPr>
            <w:tcW w:w="3685" w:type="dxa"/>
            <w:shd w:val="clear" w:color="auto" w:fill="auto"/>
          </w:tcPr>
          <w:p w14:paraId="4B5A459D" w14:textId="1334F9CF" w:rsidR="00DC08C1" w:rsidRPr="001E6367" w:rsidRDefault="00DC08C1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9.</w:t>
            </w:r>
            <w:r w:rsidR="00A77BB1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un lien entre des nombres décimaux et des fractions, ainsi 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(jusqu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millièmes).</w:t>
            </w:r>
          </w:p>
        </w:tc>
        <w:tc>
          <w:tcPr>
            <w:tcW w:w="2700" w:type="dxa"/>
            <w:shd w:val="clear" w:color="auto" w:fill="auto"/>
          </w:tcPr>
          <w:p w14:paraId="7054CBB6" w14:textId="77777777" w:rsidR="00A9349D" w:rsidRPr="001E6367" w:rsidRDefault="00A9349D" w:rsidP="009B04F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3 : Les fractions et les nombres décimaux </w:t>
            </w:r>
          </w:p>
          <w:p w14:paraId="612D79AA" w14:textId="0018094B" w:rsidR="00DC08C1" w:rsidRPr="001E6367" w:rsidRDefault="00A9349D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 : Relier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1D9F7C96" w14:textId="77777777" w:rsidR="00327784" w:rsidRPr="001E6367" w:rsidRDefault="00327784" w:rsidP="003277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0A7B5698" w14:textId="77777777" w:rsidR="00327784" w:rsidRPr="001E6367" w:rsidRDefault="00327784" w:rsidP="003277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38B5BF5D" w14:textId="77777777" w:rsidR="00327784" w:rsidRPr="001E6367" w:rsidRDefault="00327784" w:rsidP="00327784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Modéliser et expliquer la relation entre une fraction et le nombre décimal équivalent (p. ex.,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0,4).</w:t>
            </w:r>
          </w:p>
          <w:p w14:paraId="2F7B2AD4" w14:textId="77777777" w:rsidR="00327784" w:rsidRPr="001E6367" w:rsidRDefault="00327784" w:rsidP="003277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46F57016" w14:textId="77777777" w:rsidR="00DC08C1" w:rsidRDefault="00327784" w:rsidP="003277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  <w:p w14:paraId="28A16299" w14:textId="28BFABAB" w:rsidR="00C63650" w:rsidRPr="001E6367" w:rsidRDefault="00C63650" w:rsidP="003277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  <w:tr w:rsidR="00DC08C1" w:rsidRPr="008D7C4C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4583B2F8" w14:textId="0E72CDA9" w:rsidR="00ED665C" w:rsidRPr="001E6367" w:rsidRDefault="00DC08C1" w:rsidP="009B04F6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10. 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décimaux allant jusqu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:</w:t>
            </w:r>
          </w:p>
          <w:p w14:paraId="19887357" w14:textId="77777777" w:rsidR="00ED665C" w:rsidRPr="001E6367" w:rsidRDefault="00ED665C" w:rsidP="009B04F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repère;</w:t>
            </w:r>
          </w:p>
          <w:p w14:paraId="531906F2" w14:textId="77777777" w:rsidR="00ED665C" w:rsidRPr="001E6367" w:rsidRDefault="00ED665C" w:rsidP="009B04F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valeur de position;</w:t>
            </w:r>
          </w:p>
          <w:p w14:paraId="3F9A170E" w14:textId="022C51D4" w:rsidR="00A77BB1" w:rsidRPr="001E6367" w:rsidRDefault="00ED665C" w:rsidP="009B04F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équivalents.</w:t>
            </w:r>
          </w:p>
        </w:tc>
        <w:tc>
          <w:tcPr>
            <w:tcW w:w="2700" w:type="dxa"/>
            <w:shd w:val="clear" w:color="auto" w:fill="auto"/>
          </w:tcPr>
          <w:p w14:paraId="0DA75A07" w14:textId="77777777" w:rsidR="00A9349D" w:rsidRPr="001E6367" w:rsidRDefault="00A9349D" w:rsidP="009B04F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15734EAD" w14:textId="6835674D" w:rsidR="00DC08C1" w:rsidRPr="001E6367" w:rsidRDefault="00A9349D" w:rsidP="009B04F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 : Comparer et ordonner</w:t>
            </w:r>
          </w:p>
        </w:tc>
        <w:tc>
          <w:tcPr>
            <w:tcW w:w="3618" w:type="dxa"/>
            <w:shd w:val="clear" w:color="auto" w:fill="auto"/>
          </w:tcPr>
          <w:p w14:paraId="6210DFD1" w14:textId="77777777" w:rsidR="00DC08C1" w:rsidRDefault="008D7C4C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décimaux en se servant de sa compréhension de la valeur de position.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position de nombres décimaux et de fractions sur une droite numérique.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Les quantités et les nombres peuvent être regroupés ou divisés en unités de taille égale.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que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</w:p>
          <w:p w14:paraId="039E0D7B" w14:textId="67E66474" w:rsidR="00BE26E3" w:rsidRPr="001E6367" w:rsidRDefault="00BE26E3" w:rsidP="009B04F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  <w:tr w:rsidR="00DC08C1" w:rsidRPr="00BB4944" w14:paraId="14351628" w14:textId="77777777" w:rsidTr="00A47CFF">
        <w:tc>
          <w:tcPr>
            <w:tcW w:w="3685" w:type="dxa"/>
            <w:shd w:val="clear" w:color="auto" w:fill="auto"/>
          </w:tcPr>
          <w:p w14:paraId="7D3149C7" w14:textId="3CD8BD21" w:rsidR="00A77BB1" w:rsidRPr="007418B7" w:rsidRDefault="00DC08C1" w:rsidP="009B04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418B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11. </w:t>
            </w:r>
            <w:r w:rsidR="000E77E5" w:rsidRPr="007418B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E77E5" w:rsidRPr="007418B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(se limitant aux millièmes).</w:t>
            </w:r>
          </w:p>
          <w:p w14:paraId="1A56B5F0" w14:textId="332FDAC9" w:rsidR="00DC08C1" w:rsidRPr="007418B7" w:rsidRDefault="00DC08C1" w:rsidP="009B04F6">
            <w:pPr>
              <w:ind w:left="3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7610738" w14:textId="77777777" w:rsidR="00A9349D" w:rsidRPr="004A1EE0" w:rsidRDefault="00A9349D" w:rsidP="009B04F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 : Les opérations avec des fractions et des nombres décimaux</w:t>
            </w:r>
          </w:p>
          <w:p w14:paraId="0B8E7615" w14:textId="205ECF7B" w:rsidR="00DC08C1" w:rsidRPr="00A9349D" w:rsidRDefault="00A9349D" w:rsidP="009B04F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 : Faire une estimation des sommes et des différences avec 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27 : Additionner 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28 : Soustraire des nombres décimaux</w:t>
            </w:r>
          </w:p>
        </w:tc>
        <w:tc>
          <w:tcPr>
            <w:tcW w:w="3618" w:type="dxa"/>
            <w:shd w:val="clear" w:color="auto" w:fill="auto"/>
          </w:tcPr>
          <w:p w14:paraId="1DBFB54C" w14:textId="5E7E1D16" w:rsidR="00BB4944" w:rsidRPr="00802F91" w:rsidRDefault="00BB4944" w:rsidP="00BB494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58632B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622B70D1" w14:textId="77777777" w:rsidR="00DC08C1" w:rsidRDefault="00BB4944" w:rsidP="00BB494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2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opérations avec des nombres décimaux à l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aide de la modélisation et de stratégies flexibles.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916E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les sommes et les différences de nombres décimaux (p. ex., calculer le coût des transactions en dollars et en cents).</w:t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de calcul de nombres décimaux en utilisant des stratégies efficaces.</w:t>
            </w:r>
          </w:p>
          <w:p w14:paraId="7354B873" w14:textId="4831CDCE" w:rsidR="00BE26E3" w:rsidRPr="00BB4944" w:rsidRDefault="00BE26E3" w:rsidP="00BB494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</w:tbl>
    <w:p w14:paraId="7B36347C" w14:textId="77777777" w:rsidR="007174F8" w:rsidRPr="00BB4944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BB4944" w:rsidRDefault="007004C6">
      <w:pPr>
        <w:spacing w:after="120" w:line="264" w:lineRule="auto"/>
        <w:rPr>
          <w:lang w:val="fr-CA"/>
        </w:rPr>
      </w:pPr>
      <w:r w:rsidRPr="00BB4944">
        <w:rPr>
          <w:lang w:val="fr-CA"/>
        </w:rPr>
        <w:br w:type="page"/>
      </w:r>
    </w:p>
    <w:p w14:paraId="4E9BF7DA" w14:textId="5E164828" w:rsidR="00844CC5" w:rsidRDefault="00844CC5" w:rsidP="00844CC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62C0CF77" wp14:editId="19E3FE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50803D69" w14:textId="54044757" w:rsidR="00844CC5" w:rsidRDefault="00844CC5" w:rsidP="00844CC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régularités)</w:t>
      </w:r>
    </w:p>
    <w:p w14:paraId="3034F644" w14:textId="77777777" w:rsidR="00307052" w:rsidRPr="00844CC5" w:rsidRDefault="00307052">
      <w:pPr>
        <w:rPr>
          <w:b/>
          <w:lang w:val="fr-FR"/>
        </w:rPr>
      </w:pPr>
    </w:p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3A40B7" w:rsidRPr="002F713A" w14:paraId="7B36348A" w14:textId="77777777" w:rsidTr="00A47CFF">
        <w:trPr>
          <w:trHeight w:val="50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6299"/>
          </w:tcPr>
          <w:p w14:paraId="7B363486" w14:textId="48C98140" w:rsidR="003A40B7" w:rsidRPr="006D407E" w:rsidRDefault="00667D1D" w:rsidP="006411F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26299"/>
          </w:tcPr>
          <w:p w14:paraId="7B363487" w14:textId="0436ABAC" w:rsidR="003A40B7" w:rsidRPr="006D407E" w:rsidRDefault="006D407E" w:rsidP="006411FD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A26299"/>
          </w:tcPr>
          <w:p w14:paraId="7B363489" w14:textId="4ABEACB9" w:rsidR="003A40B7" w:rsidRPr="002D170B" w:rsidRDefault="002D170B" w:rsidP="006411FD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3A40B7" w:rsidRPr="00E1793D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222" w14:textId="71DAC9BB" w:rsidR="00667D1D" w:rsidRPr="002D170B" w:rsidRDefault="00667D1D" w:rsidP="006411F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3C38CC52" w14:textId="6EE533AC" w:rsidR="000E77E5" w:rsidRPr="008C7EE2" w:rsidRDefault="000E77E5" w:rsidP="006411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et résoudre des problèmes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régularités.</w:t>
            </w:r>
          </w:p>
          <w:p w14:paraId="4AB695BE" w14:textId="0AED5C59" w:rsidR="00667D1D" w:rsidRPr="008C7EE2" w:rsidRDefault="00667D1D" w:rsidP="006411F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48AA5C11" w:rsidR="003A40B7" w:rsidRPr="008C7EE2" w:rsidRDefault="00012A5E" w:rsidP="006411F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1. </w:t>
            </w:r>
            <w:r w:rsidR="00696C95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règle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96C95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régularité observée pour prédire les éléments subséquents</w:t>
            </w:r>
            <w:r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C51" w14:textId="2FD99C3D" w:rsidR="000E3742" w:rsidRPr="006411FD" w:rsidRDefault="006411FD" w:rsidP="006411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 1 : La modélisation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 : Examiner des régularités géométriques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Examiner des régularités numériques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Utiliser des règles de la régularité pour résoudre des problèmes</w:t>
            </w:r>
          </w:p>
          <w:p w14:paraId="7B363491" w14:textId="1067E470" w:rsidR="003A40B7" w:rsidRPr="006411FD" w:rsidRDefault="003A40B7" w:rsidP="006411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C397" w14:textId="77777777" w:rsidR="00E1793D" w:rsidRPr="00393551" w:rsidRDefault="00E1793D" w:rsidP="00E1793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38686759" w14:textId="77777777" w:rsidR="00E1793D" w:rsidRPr="00393551" w:rsidRDefault="00E1793D" w:rsidP="00E179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1851A5F7" w14:textId="55AAF2DA" w:rsidR="00E1793D" w:rsidRPr="000843F8" w:rsidRDefault="00E1793D" w:rsidP="00E1793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0F58A609" w14:textId="437F017B" w:rsidR="00E1793D" w:rsidRPr="007A0AB5" w:rsidRDefault="00E1793D" w:rsidP="00E1793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56E66EAD" w14:textId="77777777" w:rsidR="00E1793D" w:rsidRPr="0001792D" w:rsidRDefault="00E1793D" w:rsidP="00E179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6130C0A8" w14:textId="77777777" w:rsidR="00E1793D" w:rsidRPr="0001792D" w:rsidRDefault="00E1793D" w:rsidP="00E1793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483F712C" w:rsidR="00437EF3" w:rsidRPr="00E1793D" w:rsidRDefault="00E1793D" w:rsidP="00E1793D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régularité.</w:t>
            </w:r>
          </w:p>
        </w:tc>
      </w:tr>
    </w:tbl>
    <w:p w14:paraId="2CF5554D" w14:textId="77777777" w:rsidR="000E3742" w:rsidRPr="00E1793D" w:rsidRDefault="000E3742">
      <w:pPr>
        <w:rPr>
          <w:lang w:val="fr-CA"/>
        </w:rPr>
      </w:pPr>
    </w:p>
    <w:p w14:paraId="7B3634A6" w14:textId="179FA9ED" w:rsidR="001444DC" w:rsidRPr="00E1793D" w:rsidRDefault="001444DC">
      <w:pPr>
        <w:spacing w:after="120" w:line="264" w:lineRule="auto"/>
        <w:rPr>
          <w:sz w:val="20"/>
          <w:szCs w:val="20"/>
          <w:lang w:val="fr-CA"/>
        </w:rPr>
      </w:pPr>
      <w:r w:rsidRPr="00E1793D">
        <w:rPr>
          <w:sz w:val="20"/>
          <w:szCs w:val="20"/>
          <w:lang w:val="fr-CA"/>
        </w:rPr>
        <w:br w:type="page"/>
      </w:r>
    </w:p>
    <w:p w14:paraId="071909C4" w14:textId="31790AC2" w:rsidR="00003346" w:rsidRDefault="00003346" w:rsidP="0000334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BFB704E" wp14:editId="7810526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66984E29" w14:textId="0F052C49" w:rsidR="00003346" w:rsidRDefault="00003346" w:rsidP="0000334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3C29A9CF" w:rsidR="007174F8" w:rsidRPr="00373BBC" w:rsidRDefault="007174F8">
      <w:pPr>
        <w:rPr>
          <w:lang w:val="fr-CA"/>
        </w:rPr>
      </w:pPr>
    </w:p>
    <w:tbl>
      <w:tblPr>
        <w:tblStyle w:val="a3"/>
        <w:tblW w:w="507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6"/>
        <w:gridCol w:w="2715"/>
        <w:gridCol w:w="3513"/>
      </w:tblGrid>
      <w:tr w:rsidR="003A40B7" w:rsidRPr="002F713A" w14:paraId="7B3634AE" w14:textId="77777777" w:rsidTr="002F5AF7">
        <w:trPr>
          <w:trHeight w:val="500"/>
        </w:trPr>
        <w:tc>
          <w:tcPr>
            <w:tcW w:w="1862" w:type="pct"/>
            <w:shd w:val="clear" w:color="auto" w:fill="A26299"/>
          </w:tcPr>
          <w:p w14:paraId="7B3634AA" w14:textId="5C8D0DAF" w:rsidR="003A40B7" w:rsidRPr="006D407E" w:rsidRDefault="00667D1D" w:rsidP="009468A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8" w:type="pct"/>
            <w:shd w:val="clear" w:color="auto" w:fill="A26299"/>
          </w:tcPr>
          <w:p w14:paraId="7B3634AB" w14:textId="6C3BFED5" w:rsidR="003A40B7" w:rsidRPr="006D407E" w:rsidRDefault="006D407E" w:rsidP="009468AF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70" w:type="pct"/>
            <w:shd w:val="clear" w:color="auto" w:fill="A26299"/>
          </w:tcPr>
          <w:p w14:paraId="7B3634AD" w14:textId="55D56262" w:rsidR="003A40B7" w:rsidRPr="002D170B" w:rsidRDefault="002D170B" w:rsidP="009468A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3A40B7" w:rsidRPr="003C3133" w14:paraId="7B3634B3" w14:textId="77777777" w:rsidTr="002F5AF7">
        <w:trPr>
          <w:trHeight w:val="20"/>
        </w:trPr>
        <w:tc>
          <w:tcPr>
            <w:tcW w:w="1862" w:type="pct"/>
          </w:tcPr>
          <w:p w14:paraId="204AD653" w14:textId="46420720" w:rsidR="00667D1D" w:rsidRPr="008C7EE2" w:rsidRDefault="00667D1D" w:rsidP="009468A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6DE3B3E5" w14:textId="77777777" w:rsidR="00696C95" w:rsidRPr="008C7EE2" w:rsidRDefault="00696C95" w:rsidP="009468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façons.</w:t>
            </w:r>
          </w:p>
          <w:p w14:paraId="3129040F" w14:textId="33B9F7DD" w:rsidR="00667D1D" w:rsidRPr="008C7EE2" w:rsidRDefault="00667D1D" w:rsidP="009468A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AF" w14:textId="6916DE10" w:rsidR="003A40B7" w:rsidRPr="008C7EE2" w:rsidRDefault="00437EF3" w:rsidP="0094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2</w:t>
            </w:r>
            <w:r w:rsidR="00E32F84"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 </w:t>
            </w:r>
            <w:r w:rsidR="00811F77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comme une équation dans laquelle une lettre est utilisée pour représenter une quantité inconnue (se limitant aux nombres naturels/nombres entiers positifs).</w:t>
            </w:r>
          </w:p>
        </w:tc>
        <w:tc>
          <w:tcPr>
            <w:tcW w:w="1368" w:type="pct"/>
          </w:tcPr>
          <w:p w14:paraId="111F1FF1" w14:textId="00291655" w:rsidR="006411FD" w:rsidRPr="00A3313D" w:rsidRDefault="006411FD" w:rsidP="009468A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721926C2" w14:textId="1BB19F80" w:rsidR="006411FD" w:rsidRPr="00A3313D" w:rsidRDefault="006411FD" w:rsidP="009468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598307A9" w14:textId="49F0C1E2" w:rsidR="003A40B7" w:rsidRPr="006411FD" w:rsidRDefault="006411FD" w:rsidP="009468AF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  <w:r w:rsidR="003A40B7" w:rsidRPr="006411F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7B3634B0" w14:textId="140A38C3" w:rsidR="003A40B7" w:rsidRPr="006411FD" w:rsidRDefault="003A40B7" w:rsidP="009468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70" w:type="pct"/>
            <w:shd w:val="clear" w:color="auto" w:fill="auto"/>
          </w:tcPr>
          <w:p w14:paraId="7897C9CE" w14:textId="59C22206" w:rsidR="003C3133" w:rsidRPr="004B5EAB" w:rsidRDefault="003C3133" w:rsidP="003C3133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7225CE75" w14:textId="277F3B9E" w:rsidR="003C3133" w:rsidRPr="004B5EAB" w:rsidRDefault="003C3133" w:rsidP="003C313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56ABC2ED" w14:textId="62CE8C85" w:rsidR="00521259" w:rsidRPr="008C7EE2" w:rsidRDefault="003C3133" w:rsidP="003C313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</w:t>
            </w:r>
            <w:r w:rsidR="00321E6D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br/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</w:t>
            </w:r>
            <w:r w:rsidR="002D7E4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 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= 7).</w:t>
            </w:r>
          </w:p>
          <w:p w14:paraId="38FE6817" w14:textId="77777777" w:rsidR="003C3133" w:rsidRPr="00271E12" w:rsidRDefault="003C3133" w:rsidP="003C313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12EC0643" w14:textId="56C89723" w:rsidR="003C3133" w:rsidRPr="00703131" w:rsidRDefault="003C3133" w:rsidP="003C3133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03B8EBE5" w14:textId="060D2B71" w:rsidR="003C3133" w:rsidRPr="00693654" w:rsidRDefault="003C3133" w:rsidP="003C313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653FCB67" w:rsidR="00781A13" w:rsidRPr="003C3133" w:rsidRDefault="003C3133" w:rsidP="003C313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  <w:tr w:rsidR="00E32F84" w:rsidRPr="000B631A" w14:paraId="0FC523DD" w14:textId="77777777" w:rsidTr="002F5AF7">
        <w:trPr>
          <w:trHeight w:val="20"/>
        </w:trPr>
        <w:tc>
          <w:tcPr>
            <w:tcW w:w="1862" w:type="pct"/>
          </w:tcPr>
          <w:p w14:paraId="0DC04F8A" w14:textId="458203C4" w:rsidR="00E32F84" w:rsidRPr="008C7EE2" w:rsidRDefault="00437EF3" w:rsidP="0094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</w:t>
            </w:r>
            <w:r w:rsidR="00811F77" w:rsidRPr="008C7EE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811F77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comportant des équations à une variable et à une étape dont les coefficients et les solutions sont des nombres naturels (nombres entiers positifs).</w:t>
            </w:r>
          </w:p>
        </w:tc>
        <w:tc>
          <w:tcPr>
            <w:tcW w:w="1368" w:type="pct"/>
          </w:tcPr>
          <w:p w14:paraId="24D5AB72" w14:textId="346ABAAD" w:rsidR="006411FD" w:rsidRPr="00A3313D" w:rsidRDefault="006411FD" w:rsidP="009468A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341EFC0C" w14:textId="6FF9298D" w:rsidR="006411FD" w:rsidRPr="00A3313D" w:rsidRDefault="006411FD" w:rsidP="009468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6F34DC53" w14:textId="23B824B7" w:rsidR="00437EF3" w:rsidRPr="006411FD" w:rsidRDefault="006411FD" w:rsidP="009468AF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lastRenderedPageBreak/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  <w:r w:rsidR="00437EF3" w:rsidRPr="006411F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25B81702" w14:textId="77777777" w:rsidR="00E32F84" w:rsidRPr="006411FD" w:rsidRDefault="00E32F84" w:rsidP="009468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70" w:type="pct"/>
            <w:shd w:val="clear" w:color="auto" w:fill="auto"/>
          </w:tcPr>
          <w:p w14:paraId="73A816CD" w14:textId="00F4B9C5" w:rsidR="003363DA" w:rsidRPr="004B5EAB" w:rsidRDefault="003363DA" w:rsidP="003363DA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lastRenderedPageBreak/>
              <w:t>Idée principale : On peut représenter les régularités et les relations à l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58632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04EC4E0A" w14:textId="6A52C11F" w:rsidR="00FE3A04" w:rsidRPr="003363DA" w:rsidRDefault="003363DA" w:rsidP="003363D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073E0208" w14:textId="51262302" w:rsidR="00656C3B" w:rsidRPr="005A5395" w:rsidRDefault="00FE3A04" w:rsidP="00656C3B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56C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656C3B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</w:t>
            </w:r>
            <w:r w:rsidR="003F040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656C3B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(p. ex., </w:t>
            </w:r>
            <w:r w:rsidR="00656C3B"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="00656C3B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70E09C2F" w14:textId="20EF473E" w:rsidR="00656C3B" w:rsidRPr="003D4736" w:rsidRDefault="00656C3B" w:rsidP="00656C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</w:t>
            </w:r>
            <w:r w:rsidR="00A565A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5 +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58632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30C63F19" w14:textId="337AA5FD" w:rsidR="000B631A" w:rsidRPr="00271E12" w:rsidRDefault="00656C3B" w:rsidP="000B631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58632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  <w:r w:rsidR="00081808" w:rsidRPr="00656C3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0B631A"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406F6AEA" w14:textId="24E8B419" w:rsidR="000B631A" w:rsidRPr="00703131" w:rsidRDefault="000B631A" w:rsidP="000B631A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0D655BC4" w14:textId="3AD5D7F0" w:rsidR="000B631A" w:rsidRPr="00693654" w:rsidRDefault="000B631A" w:rsidP="000B631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2FD8C949" w:rsidR="002C0FB9" w:rsidRPr="000B631A" w:rsidRDefault="000B631A" w:rsidP="009468A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0FB989D7" w14:textId="0C1C40B5" w:rsidR="00290505" w:rsidRPr="000B631A" w:rsidRDefault="00290505">
      <w:pPr>
        <w:rPr>
          <w:rFonts w:asciiTheme="majorHAnsi" w:hAnsiTheme="majorHAnsi" w:cstheme="majorHAnsi"/>
          <w:b/>
          <w:sz w:val="20"/>
          <w:szCs w:val="20"/>
          <w:lang w:val="fr-CA"/>
        </w:rPr>
      </w:pPr>
    </w:p>
    <w:p w14:paraId="3B6F69AC" w14:textId="64B2B0AB" w:rsidR="007174F8" w:rsidRPr="000B631A" w:rsidRDefault="00290505">
      <w:pPr>
        <w:rPr>
          <w:lang w:val="fr-CA"/>
        </w:rPr>
      </w:pPr>
      <w:r w:rsidRPr="000B631A">
        <w:rPr>
          <w:lang w:val="fr-CA"/>
        </w:rPr>
        <w:br w:type="page"/>
      </w:r>
    </w:p>
    <w:p w14:paraId="39381A62" w14:textId="0FB7A0B4" w:rsidR="00373BBC" w:rsidRDefault="00373BBC" w:rsidP="00373BB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25BA5307" wp14:editId="7810051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3858ECC1" w14:textId="24FECBBA" w:rsidR="00373BBC" w:rsidRDefault="00373BBC" w:rsidP="00373BB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67F8912" w14:textId="77777777" w:rsidR="00373BBC" w:rsidRPr="00CC05CB" w:rsidRDefault="00373BBC" w:rsidP="00373BBC">
      <w:pPr>
        <w:ind w:left="1440" w:firstLine="720"/>
        <w:rPr>
          <w:b/>
          <w:lang w:val="fr-FR"/>
        </w:rPr>
      </w:pPr>
    </w:p>
    <w:tbl>
      <w:tblPr>
        <w:tblStyle w:val="a4"/>
        <w:tblW w:w="5117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572"/>
      </w:tblGrid>
      <w:tr w:rsidR="00C5385C" w:rsidRPr="002F713A" w14:paraId="7B3634BC" w14:textId="77777777" w:rsidTr="002F5AF7">
        <w:trPr>
          <w:trHeight w:val="500"/>
        </w:trPr>
        <w:tc>
          <w:tcPr>
            <w:tcW w:w="1860" w:type="pct"/>
            <w:shd w:val="clear" w:color="auto" w:fill="A26299"/>
          </w:tcPr>
          <w:p w14:paraId="7B3634B8" w14:textId="1E78A648" w:rsidR="00C5385C" w:rsidRPr="006D407E" w:rsidRDefault="00667D1D" w:rsidP="00F853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 w:cs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6" w:type="pct"/>
            <w:shd w:val="clear" w:color="auto" w:fill="A26299"/>
          </w:tcPr>
          <w:p w14:paraId="7B3634B9" w14:textId="6B8CC32B" w:rsidR="00C5385C" w:rsidRPr="006D407E" w:rsidRDefault="006D407E" w:rsidP="00F85384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84" w:type="pct"/>
            <w:shd w:val="clear" w:color="auto" w:fill="A26299"/>
          </w:tcPr>
          <w:p w14:paraId="7B3634BB" w14:textId="613B49B5" w:rsidR="00C5385C" w:rsidRPr="002D170B" w:rsidRDefault="002D170B" w:rsidP="00F853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2D170B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>4</w:t>
            </w:r>
            <w:r w:rsidRPr="002D170B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à 6</w:t>
            </w:r>
            <w:r w:rsidRPr="002D170B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C5385C" w:rsidRPr="00B453F1" w14:paraId="7B3634C1" w14:textId="77777777" w:rsidTr="002F5AF7">
        <w:trPr>
          <w:trHeight w:val="20"/>
        </w:trPr>
        <w:tc>
          <w:tcPr>
            <w:tcW w:w="1860" w:type="pct"/>
          </w:tcPr>
          <w:p w14:paraId="60473A09" w14:textId="483BFAC2" w:rsidR="00667D1D" w:rsidRPr="002D170B" w:rsidRDefault="00667D1D" w:rsidP="00F853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5144063E" w14:textId="3524F0B2" w:rsidR="00C5385C" w:rsidRPr="00DA0CF4" w:rsidRDefault="00EF7C53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et indirectes</w:t>
            </w:r>
            <w:r w:rsidR="00DC08C1" w:rsidRPr="00DA0CF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3B400FB0" w14:textId="6525E951" w:rsidR="00667D1D" w:rsidRPr="00DA0CF4" w:rsidRDefault="00667D1D" w:rsidP="00F8538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34C22677" w:rsidR="00C5385C" w:rsidRPr="00DA0CF4" w:rsidRDefault="00C5385C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1</w:t>
            </w:r>
            <w:r w:rsidR="007348E0"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 </w:t>
            </w:r>
            <w:r w:rsidR="00EF7C53" w:rsidRPr="002D17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des angles de 90°.</w:t>
            </w:r>
          </w:p>
        </w:tc>
        <w:tc>
          <w:tcPr>
            <w:tcW w:w="1356" w:type="pct"/>
          </w:tcPr>
          <w:p w14:paraId="7B3634BE" w14:textId="235AFF57" w:rsidR="007D58A3" w:rsidRPr="00A93280" w:rsidRDefault="00A93280" w:rsidP="00F853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="00D83ABF" w:rsidRPr="00A9328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</w:tc>
        <w:tc>
          <w:tcPr>
            <w:tcW w:w="1784" w:type="pct"/>
            <w:shd w:val="clear" w:color="auto" w:fill="auto"/>
          </w:tcPr>
          <w:p w14:paraId="100E804C" w14:textId="77777777" w:rsidR="00B453F1" w:rsidRPr="001F1838" w:rsidRDefault="00B453F1" w:rsidP="00B453F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7B3634C0" w14:textId="6D0AFC9D" w:rsidR="00C5385C" w:rsidRPr="00B453F1" w:rsidRDefault="00B453F1" w:rsidP="00B453F1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C3637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C363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A68A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0A68A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angle est une figure géométrique formée de deux demi-droites ou segments de droite qui partagent un point final commun.</w:t>
            </w:r>
          </w:p>
        </w:tc>
      </w:tr>
      <w:tr w:rsidR="00C5385C" w:rsidRPr="00B453F1" w14:paraId="7B3634C6" w14:textId="77777777" w:rsidTr="002F5AF7">
        <w:trPr>
          <w:trHeight w:val="20"/>
        </w:trPr>
        <w:tc>
          <w:tcPr>
            <w:tcW w:w="1860" w:type="pct"/>
          </w:tcPr>
          <w:p w14:paraId="7B3634C2" w14:textId="213EDAD7" w:rsidR="00C5385C" w:rsidRPr="00DA0CF4" w:rsidRDefault="007348E0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2. 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Concevoir et construire différents rectangles dont le périmètre,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ou les deux (se limitant aux nombres naturels/nombres entiers positifs) est/sont connu(s) et en faire des généralisations</w:t>
            </w: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56" w:type="pct"/>
          </w:tcPr>
          <w:p w14:paraId="7B3634C3" w14:textId="4F39B0ED" w:rsidR="00C5385C" w:rsidRPr="00F85384" w:rsidRDefault="00F85384" w:rsidP="00F853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 : Relier le périmètre et l</w:t>
            </w:r>
            <w:r w:rsidR="0058632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="00212DD7" w:rsidRPr="00F85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84" w:type="pct"/>
            <w:shd w:val="clear" w:color="auto" w:fill="auto"/>
          </w:tcPr>
          <w:p w14:paraId="7B3634C5" w14:textId="3A2B2831" w:rsidR="00C5385C" w:rsidRPr="00B453F1" w:rsidRDefault="00B453F1" w:rsidP="00F85384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58632B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="002A6396" w:rsidRPr="00B453F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011C66" w:rsidRPr="00496EAB" w14:paraId="12640121" w14:textId="77777777" w:rsidTr="002F5AF7">
        <w:trPr>
          <w:trHeight w:val="20"/>
        </w:trPr>
        <w:tc>
          <w:tcPr>
            <w:tcW w:w="1860" w:type="pct"/>
          </w:tcPr>
          <w:p w14:paraId="2E59B292" w14:textId="77777777" w:rsidR="001473D9" w:rsidRPr="00DA0CF4" w:rsidRDefault="00011C66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3. 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mesure de longueur (mm) en :</w:t>
            </w:r>
          </w:p>
          <w:p w14:paraId="06455E43" w14:textId="77777777" w:rsidR="001473D9" w:rsidRPr="00DA0CF4" w:rsidRDefault="001473D9" w:rsidP="00F8538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millimètre et en justifiant ce choix;</w:t>
            </w:r>
          </w:p>
          <w:p w14:paraId="42CBABB0" w14:textId="5139F99A" w:rsidR="007348E0" w:rsidRPr="00DA0CF4" w:rsidRDefault="001473D9" w:rsidP="00F8538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centimètre, ainsi qu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le millimètre et le mètre.</w:t>
            </w:r>
          </w:p>
        </w:tc>
        <w:tc>
          <w:tcPr>
            <w:tcW w:w="1356" w:type="pct"/>
          </w:tcPr>
          <w:p w14:paraId="1A864646" w14:textId="29578CD2" w:rsidR="00011C66" w:rsidRPr="00F85384" w:rsidRDefault="00F85384" w:rsidP="00F853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5863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 :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Estimer et mesurer en millimètres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Mesurer la longueur avec différentes unités de mesure</w:t>
            </w:r>
            <w:r w:rsidR="00C9787C" w:rsidRPr="00F85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84" w:type="pct"/>
            <w:shd w:val="clear" w:color="auto" w:fill="auto"/>
          </w:tcPr>
          <w:p w14:paraId="2C429BE9" w14:textId="1EB36AA4" w:rsidR="00011C66" w:rsidRPr="00496EAB" w:rsidRDefault="00496EAB" w:rsidP="00F85384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</w:t>
            </w:r>
            <w:r w:rsidR="001E2535" w:rsidRPr="00496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</w:tbl>
    <w:p w14:paraId="2E00DDAA" w14:textId="77777777" w:rsidR="00417D27" w:rsidRPr="00496EAB" w:rsidRDefault="00417D27">
      <w:pPr>
        <w:rPr>
          <w:lang w:val="fr-CA"/>
        </w:rPr>
      </w:pPr>
      <w:r w:rsidRPr="00496EAB">
        <w:rPr>
          <w:lang w:val="fr-CA"/>
        </w:rPr>
        <w:br w:type="page"/>
      </w:r>
    </w:p>
    <w:tbl>
      <w:tblPr>
        <w:tblStyle w:val="a4"/>
        <w:tblW w:w="5117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572"/>
      </w:tblGrid>
      <w:tr w:rsidR="007348E0" w:rsidRPr="00A573D6" w14:paraId="16AF0949" w14:textId="77777777" w:rsidTr="002F5AF7">
        <w:trPr>
          <w:trHeight w:val="20"/>
        </w:trPr>
        <w:tc>
          <w:tcPr>
            <w:tcW w:w="1860" w:type="pct"/>
          </w:tcPr>
          <w:p w14:paraId="274665DE" w14:textId="77777777" w:rsidR="00777989" w:rsidRPr="00A573D6" w:rsidRDefault="00777989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4. Démontrer une compréhension du volume en :</w:t>
            </w:r>
          </w:p>
          <w:p w14:paraId="57151A35" w14:textId="77777777" w:rsidR="00777989" w:rsidRPr="00A573D6" w:rsidRDefault="00777989" w:rsidP="00F85384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cm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en justifiant ce choix;</w:t>
            </w:r>
          </w:p>
          <w:p w14:paraId="79E5A76B" w14:textId="2B4E95B1" w:rsidR="00777989" w:rsidRPr="00A573D6" w:rsidRDefault="00777989" w:rsidP="00F85384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volumes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7DA9016" w14:textId="77777777" w:rsidR="00777989" w:rsidRPr="00A573D6" w:rsidRDefault="00777989" w:rsidP="00F85384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);</w:t>
            </w:r>
          </w:p>
          <w:p w14:paraId="4B257C5D" w14:textId="3EDCCE13" w:rsidR="00777989" w:rsidRPr="00A573D6" w:rsidRDefault="00777989" w:rsidP="00F85384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construisant des prismes droits à base rectangulaire dont le volume est connu.</w:t>
            </w:r>
          </w:p>
        </w:tc>
        <w:tc>
          <w:tcPr>
            <w:tcW w:w="1356" w:type="pct"/>
          </w:tcPr>
          <w:p w14:paraId="7820E0C9" w14:textId="54CEB1D0" w:rsidR="007348E0" w:rsidRPr="00A573D6" w:rsidRDefault="00F85384" w:rsidP="00F8538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A573D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A573D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573D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 : Explorer le volume</w:t>
            </w:r>
            <w:r w:rsidRPr="00A573D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 : Explorer le volume des prismes rectangulaires</w:t>
            </w:r>
            <w:r w:rsidR="001E2535" w:rsidRPr="00A573D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84" w:type="pct"/>
            <w:shd w:val="clear" w:color="auto" w:fill="auto"/>
          </w:tcPr>
          <w:p w14:paraId="6D494498" w14:textId="77777777" w:rsidR="007348E0" w:rsidRDefault="00A573D6" w:rsidP="00F85384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A573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principale : Plusieurs choses dans notre monde (p. ex., les objets, les espaces, les événements) ont des attributs qui peuvent être mesurés et comparés. </w:t>
            </w:r>
            <w:r w:rsidRPr="00A573D6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A573D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Pr="00A573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le volume et la capacité sont des propriétés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573D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A573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principale : Attribuer une unité à une propriété continue nous permet de prendre des mesures et faire des comparaisons. </w:t>
            </w:r>
            <w:r w:rsidRPr="00A573D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573D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Choisir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A573D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Développer sa compréhension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Pr="00A573D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Mesurer, représenter et estimer le volume en utilisant des unités cubiques standards (p. ex., des centimètres cubes).</w:t>
            </w:r>
            <w:r w:rsidRPr="00A573D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  <w:t>Comprendre les relations entre les unités mesurées</w:t>
            </w:r>
            <w:r w:rsidRPr="00A573D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573D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et appliquer la relation multiplicative entre les unités métriques de longueur, de masse et de capacité</w:t>
            </w:r>
            <w:r w:rsidRPr="00A573D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205C7988" w14:textId="1085ED0E" w:rsidR="008E06B7" w:rsidRPr="00A573D6" w:rsidRDefault="008E06B7" w:rsidP="00F85384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7348E0" w:rsidRPr="00C80400" w14:paraId="04DB5390" w14:textId="77777777" w:rsidTr="002F5AF7">
        <w:trPr>
          <w:trHeight w:val="20"/>
        </w:trPr>
        <w:tc>
          <w:tcPr>
            <w:tcW w:w="1860" w:type="pct"/>
          </w:tcPr>
          <w:p w14:paraId="7114D592" w14:textId="77777777" w:rsidR="001A15EB" w:rsidRPr="00C633CF" w:rsidRDefault="001A15EB" w:rsidP="00F8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5. </w:t>
            </w: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capacité en :</w:t>
            </w:r>
          </w:p>
          <w:p w14:paraId="457F0A0F" w14:textId="77777777" w:rsidR="001A15EB" w:rsidRPr="00C633CF" w:rsidRDefault="001A15EB" w:rsidP="00F8538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 millilitre et le litre;</w:t>
            </w:r>
          </w:p>
          <w:p w14:paraId="7EFC4412" w14:textId="77777777" w:rsidR="001A15EB" w:rsidRPr="00C633CF" w:rsidRDefault="001A15EB" w:rsidP="00F8538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millilitre et le litre et en justifiant ce choix;</w:t>
            </w:r>
          </w:p>
          <w:p w14:paraId="3E07FD3F" w14:textId="4F494735" w:rsidR="001A15EB" w:rsidRPr="00C633CF" w:rsidRDefault="001A15EB" w:rsidP="00F8538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capacités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millilitre et le litre;</w:t>
            </w:r>
          </w:p>
          <w:p w14:paraId="3A6E9341" w14:textId="49FB0552" w:rsidR="001A15EB" w:rsidRPr="00C633CF" w:rsidRDefault="001A15EB" w:rsidP="00F8538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capacités (mL ou L).</w:t>
            </w:r>
          </w:p>
        </w:tc>
        <w:tc>
          <w:tcPr>
            <w:tcW w:w="1356" w:type="pct"/>
          </w:tcPr>
          <w:p w14:paraId="3F13FBFB" w14:textId="6A739F44" w:rsidR="007348E0" w:rsidRPr="00C633CF" w:rsidRDefault="00F85384" w:rsidP="00F8538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C633C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C633C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C633C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 : Explorer la capacité</w:t>
            </w:r>
            <w:r w:rsidR="009E35E8" w:rsidRPr="00C633C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9E35E8" w:rsidRPr="00C633C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84" w:type="pct"/>
            <w:shd w:val="clear" w:color="auto" w:fill="auto"/>
          </w:tcPr>
          <w:p w14:paraId="7CB69E14" w14:textId="7E73C93C" w:rsidR="002C0FB9" w:rsidRPr="00C80400" w:rsidRDefault="00C80400" w:rsidP="00F85384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15E7850" w14:textId="3F786173" w:rsidR="007174F8" w:rsidRPr="00C80400" w:rsidRDefault="007174F8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83F3C37" w14:textId="7CF5CFBC" w:rsidR="002A59F4" w:rsidRPr="00C80400" w:rsidRDefault="002A59F4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3486F61" w14:textId="1A294AD1" w:rsidR="00145881" w:rsidRPr="00C80400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C80400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148CE215" w14:textId="71FA7E16" w:rsidR="006D15B1" w:rsidRDefault="006D15B1" w:rsidP="006D15B1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6C8A1781" wp14:editId="08B4991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7BC9EF6E" w14:textId="46BC1F5C" w:rsidR="006D15B1" w:rsidRPr="00B40AA5" w:rsidRDefault="006D15B1" w:rsidP="006D15B1">
      <w:pPr>
        <w:jc w:val="center"/>
        <w:rPr>
          <w:rFonts w:ascii="Calibri" w:hAnsi="Calibri" w:cstheme="majorHAnsi"/>
          <w:b/>
          <w:bCs/>
          <w:sz w:val="26"/>
          <w:szCs w:val="26"/>
          <w:lang w:val="fr-FR"/>
        </w:rPr>
      </w:pP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(La forme et l</w:t>
      </w:r>
      <w:r w:rsidR="0058632B">
        <w:rPr>
          <w:rFonts w:ascii="Calibri" w:hAnsi="Calibri" w:cstheme="majorHAnsi"/>
          <w:b/>
          <w:bCs/>
          <w:sz w:val="26"/>
          <w:szCs w:val="26"/>
          <w:lang w:val="fr-FR"/>
        </w:rPr>
        <w:t>’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espace : Les objets à trois dimensions et les figures à deux dimensions)</w:t>
      </w:r>
    </w:p>
    <w:p w14:paraId="0CF34AD2" w14:textId="77777777" w:rsidR="006D15B1" w:rsidRPr="00BE7748" w:rsidRDefault="006D15B1" w:rsidP="006D15B1">
      <w:pPr>
        <w:rPr>
          <w:b/>
          <w:sz w:val="28"/>
          <w:szCs w:val="28"/>
          <w:lang w:val="fr-FR"/>
        </w:rPr>
      </w:pPr>
    </w:p>
    <w:tbl>
      <w:tblPr>
        <w:tblStyle w:val="a6"/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612"/>
      </w:tblGrid>
      <w:tr w:rsidR="00E91821" w:rsidRPr="002F713A" w14:paraId="7B3634EB" w14:textId="77777777" w:rsidTr="002F5AF7">
        <w:trPr>
          <w:trHeight w:val="500"/>
        </w:trPr>
        <w:tc>
          <w:tcPr>
            <w:tcW w:w="3724" w:type="dxa"/>
            <w:shd w:val="clear" w:color="auto" w:fill="A26299"/>
          </w:tcPr>
          <w:p w14:paraId="7B3634E7" w14:textId="77D4EFC1" w:rsidR="00E91821" w:rsidRPr="006D407E" w:rsidRDefault="00667D1D" w:rsidP="00AF6A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A26299"/>
          </w:tcPr>
          <w:p w14:paraId="7B3634E8" w14:textId="2CCC8BDB" w:rsidR="00E91821" w:rsidRPr="006D407E" w:rsidRDefault="006D407E" w:rsidP="00AF6A58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2" w:type="dxa"/>
            <w:shd w:val="clear" w:color="auto" w:fill="A26299"/>
          </w:tcPr>
          <w:p w14:paraId="7B3634EA" w14:textId="7D6CD6EF" w:rsidR="00E91821" w:rsidRPr="002D170B" w:rsidRDefault="002D170B" w:rsidP="00AF6A5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E91821" w:rsidRPr="0086627E" w14:paraId="7B3634F1" w14:textId="77777777" w:rsidTr="002F5AF7">
        <w:trPr>
          <w:trHeight w:val="20"/>
        </w:trPr>
        <w:tc>
          <w:tcPr>
            <w:tcW w:w="3724" w:type="dxa"/>
          </w:tcPr>
          <w:p w14:paraId="15C866AA" w14:textId="4F09AC12" w:rsidR="00667D1D" w:rsidRPr="002D170B" w:rsidRDefault="00667D1D" w:rsidP="00AF6A5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2028B24" w14:textId="451A630A" w:rsidR="00DC12A8" w:rsidRPr="00C902A4" w:rsidRDefault="00DC12A8" w:rsidP="00AF6A5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elles.</w:t>
            </w:r>
          </w:p>
          <w:p w14:paraId="267A5ECA" w14:textId="2AE6DD4B" w:rsidR="00667D1D" w:rsidRPr="00C902A4" w:rsidRDefault="00667D1D" w:rsidP="00AF6A5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6D4942EA" w14:textId="7730FF4F" w:rsidR="00DC12A8" w:rsidRPr="00C902A4" w:rsidRDefault="00DC12A8" w:rsidP="00A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6.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fournir des exemples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arêtes et de faces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ainsi que de côtés de figures à deux dimensions qui sont :</w:t>
            </w:r>
          </w:p>
          <w:p w14:paraId="028839F5" w14:textId="77777777" w:rsidR="00DC12A8" w:rsidRPr="00C902A4" w:rsidRDefault="00DC12A8" w:rsidP="00AF6A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parallèles;</w:t>
            </w:r>
          </w:p>
          <w:p w14:paraId="60A1DC46" w14:textId="77777777" w:rsidR="00DC12A8" w:rsidRPr="00C902A4" w:rsidRDefault="00DC12A8" w:rsidP="00AF6A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concourants;</w:t>
            </w:r>
          </w:p>
          <w:p w14:paraId="3FA40A04" w14:textId="77777777" w:rsidR="00DC12A8" w:rsidRPr="00C902A4" w:rsidRDefault="00DC12A8" w:rsidP="00AF6A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perpendiculaires;</w:t>
            </w:r>
          </w:p>
          <w:p w14:paraId="0F5D6FCA" w14:textId="77777777" w:rsidR="00DC12A8" w:rsidRPr="00C902A4" w:rsidRDefault="00DC12A8" w:rsidP="00AF6A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verticaux;</w:t>
            </w:r>
          </w:p>
          <w:p w14:paraId="7B3634EC" w14:textId="77DDB45E" w:rsidR="00DC12A8" w:rsidRPr="00C902A4" w:rsidRDefault="00DC12A8" w:rsidP="00AF6A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horizontaux.</w:t>
            </w:r>
          </w:p>
        </w:tc>
        <w:tc>
          <w:tcPr>
            <w:tcW w:w="2687" w:type="dxa"/>
          </w:tcPr>
          <w:p w14:paraId="4536F3D1" w14:textId="77777777" w:rsidR="00F85384" w:rsidRPr="005D5FD0" w:rsidRDefault="00F85384" w:rsidP="00AF6A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Les propriétés des figures à 2D et des objets à 3D</w:t>
            </w:r>
          </w:p>
          <w:p w14:paraId="1A32E11D" w14:textId="683482A6" w:rsidR="006939B9" w:rsidRPr="00C902A4" w:rsidRDefault="00F85384" w:rsidP="00AF6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7D211B33" w14:textId="77777777" w:rsidR="006939B9" w:rsidRPr="00C902A4" w:rsidRDefault="006939B9" w:rsidP="00AF6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3634ED" w14:textId="2CF2E3FD" w:rsidR="006939B9" w:rsidRPr="00C902A4" w:rsidRDefault="006939B9" w:rsidP="00AF6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2" w:type="dxa"/>
            <w:shd w:val="clear" w:color="auto" w:fill="auto"/>
          </w:tcPr>
          <w:p w14:paraId="2C72F747" w14:textId="77777777" w:rsidR="0086627E" w:rsidRPr="001F1838" w:rsidRDefault="0086627E" w:rsidP="0086627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51852CCB" w14:textId="576993B5" w:rsidR="0086627E" w:rsidRPr="009809D3" w:rsidRDefault="0086627E" w:rsidP="0086627E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décrire, construire et classifier des polygones en fonction des propriétés relatives à leurs côtés (p. ex., parallèles, perpendiculaires, réguliers/irréguliers).</w:t>
            </w:r>
          </w:p>
          <w:p w14:paraId="1624E18A" w14:textId="77777777" w:rsidR="00E91821" w:rsidRDefault="0086627E" w:rsidP="0086627E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>Trier, décrire, construire et classifier des objets à 3D en fonction de leurs arêtes, faces, sommets et angles (p. ex., prismes, pyramides).</w:t>
            </w:r>
            <w:r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</w:t>
            </w:r>
            <w:r w:rsidRPr="005A5F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F0" w14:textId="60912698" w:rsidR="00977EA2" w:rsidRPr="0086627E" w:rsidRDefault="00977EA2" w:rsidP="0086627E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176937" w:rsidRPr="00F743F0" w14:paraId="3E03C593" w14:textId="77777777" w:rsidTr="002F5AF7">
        <w:trPr>
          <w:trHeight w:val="20"/>
        </w:trPr>
        <w:tc>
          <w:tcPr>
            <w:tcW w:w="3724" w:type="dxa"/>
          </w:tcPr>
          <w:p w14:paraId="19EF8584" w14:textId="77777777" w:rsidR="00F22F8E" w:rsidRPr="00C902A4" w:rsidRDefault="00F22F8E" w:rsidP="00A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7.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trier des quadrilatères, y compris des :</w:t>
            </w:r>
          </w:p>
          <w:p w14:paraId="086928FD" w14:textId="77777777" w:rsidR="00F22F8E" w:rsidRPr="00C902A4" w:rsidRDefault="00F22F8E" w:rsidP="00AF6A5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rectangles;</w:t>
            </w:r>
          </w:p>
          <w:p w14:paraId="564A905A" w14:textId="77777777" w:rsidR="00F22F8E" w:rsidRPr="00C902A4" w:rsidRDefault="00F22F8E" w:rsidP="00AF6A5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carrés;</w:t>
            </w:r>
          </w:p>
          <w:p w14:paraId="384ED275" w14:textId="77777777" w:rsidR="00F22F8E" w:rsidRPr="00C902A4" w:rsidRDefault="00F22F8E" w:rsidP="00AF6A5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trapèzes;</w:t>
            </w:r>
          </w:p>
          <w:p w14:paraId="34FE670C" w14:textId="77777777" w:rsidR="00F22F8E" w:rsidRPr="00C902A4" w:rsidRDefault="00F22F8E" w:rsidP="00AF6A5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parallélogrammes;</w:t>
            </w:r>
          </w:p>
          <w:p w14:paraId="15839075" w14:textId="77777777" w:rsidR="00F22F8E" w:rsidRPr="00C902A4" w:rsidRDefault="00F22F8E" w:rsidP="00AF6A5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losanges</w:t>
            </w:r>
          </w:p>
          <w:p w14:paraId="7C800A69" w14:textId="286A6A7A" w:rsidR="00F22F8E" w:rsidRPr="00C902A4" w:rsidRDefault="00F22F8E" w:rsidP="00A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attributs.</w:t>
            </w:r>
          </w:p>
          <w:p w14:paraId="6B03F28C" w14:textId="110F4842" w:rsidR="00176937" w:rsidRPr="00C902A4" w:rsidRDefault="00176937" w:rsidP="00A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2687" w:type="dxa"/>
          </w:tcPr>
          <w:p w14:paraId="6AF7C4B9" w14:textId="77777777" w:rsidR="0094542E" w:rsidRPr="009B66BA" w:rsidRDefault="0094542E" w:rsidP="00AF6A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117CE18B" w14:textId="04840C6D" w:rsidR="00176937" w:rsidRPr="00C902A4" w:rsidRDefault="0094542E" w:rsidP="00AF6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</w:tc>
        <w:tc>
          <w:tcPr>
            <w:tcW w:w="3612" w:type="dxa"/>
            <w:shd w:val="clear" w:color="auto" w:fill="auto"/>
          </w:tcPr>
          <w:p w14:paraId="3F8E3F96" w14:textId="77777777" w:rsidR="00F743F0" w:rsidRPr="001F1838" w:rsidRDefault="00F743F0" w:rsidP="00F743F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4F2A2F50" w14:textId="77777777" w:rsidR="00F743F0" w:rsidRPr="00291824" w:rsidRDefault="00F743F0" w:rsidP="00F743F0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2065F764" w14:textId="77777777" w:rsidR="00F743F0" w:rsidRPr="00B03658" w:rsidRDefault="00F743F0" w:rsidP="00F743F0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</w:t>
            </w:r>
            <w:r w:rsidRPr="00B03658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  <w:p w14:paraId="7EE54E8F" w14:textId="158A6DCF" w:rsidR="002C0FB9" w:rsidRPr="00F743F0" w:rsidRDefault="00F743F0" w:rsidP="00F743F0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9517C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décrire, construire et classifier des polygones en fonction des propriétés relatives à leurs côtés (p. ex., parallèles, perpendiculaires, réguliers/irréguliers).</w:t>
            </w:r>
            <w:r w:rsidR="00C41716" w:rsidRPr="00F743F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C41716" w:rsidRPr="00F743F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Classifier les figures à 2D dans une hiérarchie basée sur leurs propriétés </w:t>
            </w:r>
            <w:r w:rsidR="00FD53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les rectangles sont un sous-ensemble des parallélogrammes).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</w:t>
            </w:r>
            <w:r w:rsidRPr="0011294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61C76AC6" w14:textId="5E24196F" w:rsidR="002E7767" w:rsidRPr="00F743F0" w:rsidRDefault="002E7767" w:rsidP="00080EF8">
      <w:pPr>
        <w:rPr>
          <w:b/>
          <w:sz w:val="28"/>
          <w:szCs w:val="28"/>
          <w:lang w:val="fr-CA"/>
        </w:rPr>
      </w:pPr>
    </w:p>
    <w:p w14:paraId="29F09A75" w14:textId="0E6239E6" w:rsidR="00720DA6" w:rsidRPr="00F743F0" w:rsidRDefault="00720DA6" w:rsidP="00080EF8">
      <w:pPr>
        <w:rPr>
          <w:b/>
          <w:sz w:val="28"/>
          <w:szCs w:val="28"/>
          <w:lang w:val="fr-CA"/>
        </w:rPr>
      </w:pPr>
    </w:p>
    <w:p w14:paraId="3B226880" w14:textId="320FCE51" w:rsidR="00720DA6" w:rsidRPr="00F743F0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F743F0">
        <w:rPr>
          <w:b/>
          <w:sz w:val="28"/>
          <w:szCs w:val="28"/>
          <w:lang w:val="fr-CA"/>
        </w:rPr>
        <w:br w:type="page"/>
      </w:r>
    </w:p>
    <w:p w14:paraId="09740D01" w14:textId="22A687D8" w:rsidR="00BE0FD7" w:rsidRDefault="00BE0FD7" w:rsidP="00BE0FD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50768CD4" wp14:editId="6F057F3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44239DB4" w14:textId="0CBD47DA" w:rsidR="00BE0FD7" w:rsidRDefault="00BE0FD7" w:rsidP="00BE0FD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Les transformations)</w:t>
      </w:r>
    </w:p>
    <w:p w14:paraId="2565E107" w14:textId="77777777" w:rsidR="00BE0FD7" w:rsidRPr="006F1AC4" w:rsidRDefault="00BE0FD7" w:rsidP="00BE0FD7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9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598"/>
      </w:tblGrid>
      <w:tr w:rsidR="006939B9" w:rsidRPr="002F713A" w14:paraId="23E27BF8" w14:textId="77777777" w:rsidTr="002F5AF7">
        <w:trPr>
          <w:trHeight w:val="500"/>
        </w:trPr>
        <w:tc>
          <w:tcPr>
            <w:tcW w:w="3724" w:type="dxa"/>
            <w:shd w:val="clear" w:color="auto" w:fill="A26299"/>
          </w:tcPr>
          <w:p w14:paraId="10CD6977" w14:textId="712134AD" w:rsidR="006939B9" w:rsidRPr="006D407E" w:rsidRDefault="00667D1D" w:rsidP="009715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A26299"/>
          </w:tcPr>
          <w:p w14:paraId="3353C456" w14:textId="21C1311B" w:rsidR="006939B9" w:rsidRPr="006D407E" w:rsidRDefault="006D407E" w:rsidP="00971578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598" w:type="dxa"/>
            <w:shd w:val="clear" w:color="auto" w:fill="A26299"/>
          </w:tcPr>
          <w:p w14:paraId="2F9FE35F" w14:textId="0E41B89B" w:rsidR="006939B9" w:rsidRPr="002D170B" w:rsidRDefault="002D170B" w:rsidP="0097157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6939B9" w:rsidRPr="007E26E3" w14:paraId="09C49344" w14:textId="77777777" w:rsidTr="002F5AF7">
        <w:trPr>
          <w:trHeight w:val="20"/>
        </w:trPr>
        <w:tc>
          <w:tcPr>
            <w:tcW w:w="3724" w:type="dxa"/>
          </w:tcPr>
          <w:p w14:paraId="20BD360B" w14:textId="5E307B93" w:rsidR="00667D1D" w:rsidRPr="00C902A4" w:rsidRDefault="00667D1D" w:rsidP="0097157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5FC0CAD7" w14:textId="298B7ABD" w:rsidR="00590A16" w:rsidRPr="00C902A4" w:rsidRDefault="00590A16" w:rsidP="009715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figures.</w:t>
            </w:r>
          </w:p>
          <w:p w14:paraId="66587FA5" w14:textId="303DC830" w:rsidR="00667D1D" w:rsidRPr="00C902A4" w:rsidRDefault="00667D1D" w:rsidP="0097157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440D9F51" w14:textId="0F5DE3C2" w:rsidR="006939B9" w:rsidRPr="00C902A4" w:rsidRDefault="00720DA6" w:rsidP="0097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8</w:t>
            </w:r>
            <w:r w:rsidR="006939B9"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6939B9"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90A16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décrire une seule transformation, y compris une translation, une réflexion et une rotation de figures à deux dimensions.</w:t>
            </w:r>
          </w:p>
        </w:tc>
        <w:tc>
          <w:tcPr>
            <w:tcW w:w="2673" w:type="dxa"/>
          </w:tcPr>
          <w:p w14:paraId="64F3266B" w14:textId="77777777" w:rsidR="00971578" w:rsidRPr="009E0217" w:rsidRDefault="00971578" w:rsidP="009715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6D38D4C3" w14:textId="62A6D40F" w:rsidR="006939B9" w:rsidRPr="00971578" w:rsidRDefault="00971578" w:rsidP="009715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  <w:r w:rsidRPr="0097157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598" w:type="dxa"/>
            <w:shd w:val="clear" w:color="auto" w:fill="auto"/>
          </w:tcPr>
          <w:p w14:paraId="7E1E6267" w14:textId="77777777" w:rsidR="007E26E3" w:rsidRPr="00B038A5" w:rsidRDefault="007E26E3" w:rsidP="007E26E3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39BFAFB5" w14:textId="6EB1F995" w:rsidR="002C23CC" w:rsidRPr="007E26E3" w:rsidRDefault="007E26E3" w:rsidP="007E26E3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</w:t>
            </w:r>
            <w:r w:rsidRPr="0066664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106595" w:rsidRPr="007E26E3" w14:paraId="638F0823" w14:textId="77777777" w:rsidTr="002F5AF7">
        <w:trPr>
          <w:trHeight w:val="20"/>
        </w:trPr>
        <w:tc>
          <w:tcPr>
            <w:tcW w:w="3724" w:type="dxa"/>
          </w:tcPr>
          <w:p w14:paraId="1816C2D3" w14:textId="60D8551C" w:rsidR="00106595" w:rsidRPr="00C902A4" w:rsidRDefault="00720DA6" w:rsidP="0097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9</w:t>
            </w:r>
            <w:r w:rsidR="00106595"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Effectuer une seule transformation (translation, rotation ou réflexion)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dimensions, de façon concrète et dessiner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 obtenue.</w:t>
            </w:r>
          </w:p>
        </w:tc>
        <w:tc>
          <w:tcPr>
            <w:tcW w:w="2673" w:type="dxa"/>
          </w:tcPr>
          <w:p w14:paraId="3D882F5D" w14:textId="77777777" w:rsidR="00971578" w:rsidRPr="009E0217" w:rsidRDefault="00971578" w:rsidP="009715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3C3CE48E" w14:textId="2C8DE2FF" w:rsidR="00106595" w:rsidRPr="00971578" w:rsidRDefault="00971578" w:rsidP="009715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</w:tc>
        <w:tc>
          <w:tcPr>
            <w:tcW w:w="3598" w:type="dxa"/>
            <w:shd w:val="clear" w:color="auto" w:fill="auto"/>
          </w:tcPr>
          <w:p w14:paraId="21BA581B" w14:textId="77777777" w:rsidR="007E26E3" w:rsidRPr="00B038A5" w:rsidRDefault="007E26E3" w:rsidP="007E26E3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15454B41" w:rsidR="002C0FB9" w:rsidRPr="007E26E3" w:rsidRDefault="007E26E3" w:rsidP="00971578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</w:t>
            </w:r>
            <w:r w:rsidRPr="0066664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55524961" w14:textId="6946746B" w:rsidR="002C0FB9" w:rsidRPr="007E26E3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7E26E3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7E26E3">
        <w:rPr>
          <w:b/>
          <w:sz w:val="28"/>
          <w:szCs w:val="28"/>
          <w:lang w:val="fr-CA"/>
        </w:rPr>
        <w:br w:type="page"/>
      </w:r>
    </w:p>
    <w:p w14:paraId="56FA2EDC" w14:textId="25996722" w:rsidR="0079270C" w:rsidRDefault="0079270C" w:rsidP="0079270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68B5C957" wp14:editId="20F9FA6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56E48DAE" w14:textId="35590825" w:rsidR="0079270C" w:rsidRDefault="0079270C" w:rsidP="0079270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statistique et la probabilité : L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analyse de données)</w:t>
      </w:r>
    </w:p>
    <w:p w14:paraId="163B2187" w14:textId="69D40AE3" w:rsidR="00CA3760" w:rsidRPr="0079270C" w:rsidRDefault="00CA3760">
      <w:pPr>
        <w:ind w:left="720" w:firstLine="720"/>
        <w:rPr>
          <w:lang w:val="fr-CA"/>
        </w:rPr>
      </w:pPr>
    </w:p>
    <w:tbl>
      <w:tblPr>
        <w:tblStyle w:val="a7"/>
        <w:tblW w:w="513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69"/>
        <w:gridCol w:w="2756"/>
        <w:gridCol w:w="3626"/>
      </w:tblGrid>
      <w:tr w:rsidR="002F5AF7" w:rsidRPr="002F713A" w14:paraId="7B363504" w14:textId="77777777" w:rsidTr="002F5AF7">
        <w:trPr>
          <w:trHeight w:val="500"/>
        </w:trPr>
        <w:tc>
          <w:tcPr>
            <w:tcW w:w="1825" w:type="pct"/>
            <w:shd w:val="clear" w:color="auto" w:fill="A26299"/>
          </w:tcPr>
          <w:p w14:paraId="7B363500" w14:textId="3F185169" w:rsidR="002F5AF7" w:rsidRPr="00147BC0" w:rsidRDefault="002F5AF7" w:rsidP="003F7C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71" w:type="pct"/>
            <w:shd w:val="clear" w:color="auto" w:fill="A26299"/>
          </w:tcPr>
          <w:p w14:paraId="7B363501" w14:textId="4C19D2E5" w:rsidR="002F5AF7" w:rsidRPr="00147BC0" w:rsidRDefault="002F5AF7" w:rsidP="003F7CD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shd w:val="clear" w:color="auto" w:fill="A26299"/>
          </w:tcPr>
          <w:p w14:paraId="7B363503" w14:textId="4EE55BF5" w:rsidR="002F5AF7" w:rsidRPr="002D170B" w:rsidRDefault="002F5AF7" w:rsidP="003F7CD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2F5AF7" w:rsidRPr="00EA3160" w14:paraId="7B36350E" w14:textId="77777777" w:rsidTr="002F5AF7">
        <w:trPr>
          <w:trHeight w:val="20"/>
        </w:trPr>
        <w:tc>
          <w:tcPr>
            <w:tcW w:w="1825" w:type="pct"/>
          </w:tcPr>
          <w:p w14:paraId="6278B555" w14:textId="1E07C133" w:rsidR="002F5AF7" w:rsidRPr="002D170B" w:rsidRDefault="002F5AF7" w:rsidP="003F7CD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D170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6704EB09" w14:textId="77777777" w:rsidR="002F5AF7" w:rsidRPr="00C902A4" w:rsidRDefault="002F5AF7" w:rsidP="003F7CD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  <w:p w14:paraId="5E51428E" w14:textId="429E9E56" w:rsidR="002F5AF7" w:rsidRPr="00C902A4" w:rsidRDefault="002F5AF7" w:rsidP="003F7CD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62998D19" w:rsidR="002F5AF7" w:rsidRPr="00C902A4" w:rsidRDefault="002F5AF7" w:rsidP="003F7CD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données primaires des données secondaires.</w:t>
            </w:r>
          </w:p>
        </w:tc>
        <w:tc>
          <w:tcPr>
            <w:tcW w:w="1371" w:type="pct"/>
          </w:tcPr>
          <w:p w14:paraId="01667348" w14:textId="77777777" w:rsidR="003F7CDF" w:rsidRPr="002E3352" w:rsidRDefault="003F7CDF" w:rsidP="003F7C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672A7C8A" w14:textId="5261526B" w:rsidR="002F5AF7" w:rsidRPr="003F7CDF" w:rsidRDefault="003F7CDF" w:rsidP="003F7CD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Explorer des données primaires et secondaires</w:t>
            </w:r>
          </w:p>
          <w:p w14:paraId="7B36350B" w14:textId="10459DD4" w:rsidR="002F5AF7" w:rsidRPr="003F7CDF" w:rsidRDefault="002F5AF7" w:rsidP="003F7CD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804" w:type="pct"/>
            <w:shd w:val="clear" w:color="auto" w:fill="auto"/>
          </w:tcPr>
          <w:p w14:paraId="31CB1EEE" w14:textId="77777777" w:rsidR="00EA3160" w:rsidRPr="002D2AB0" w:rsidRDefault="00EA3160" w:rsidP="00EA3160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2879710F" w14:textId="77777777" w:rsidR="002F5AF7" w:rsidRDefault="00EA3160" w:rsidP="00EA316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</w:p>
          <w:p w14:paraId="7B36350D" w14:textId="586E4FD9" w:rsidR="00373A63" w:rsidRPr="00EA3160" w:rsidRDefault="00373A63" w:rsidP="00EA316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2F5AF7" w:rsidRPr="00EA3160" w14:paraId="43524514" w14:textId="77777777" w:rsidTr="002F5AF7">
        <w:trPr>
          <w:trHeight w:val="20"/>
        </w:trPr>
        <w:tc>
          <w:tcPr>
            <w:tcW w:w="1825" w:type="pct"/>
          </w:tcPr>
          <w:p w14:paraId="10234675" w14:textId="68B20E51" w:rsidR="002F5AF7" w:rsidRPr="00C902A4" w:rsidRDefault="002F5AF7" w:rsidP="003F7CD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diagrammes à bandes doubles, pour tirer des conclusions.</w:t>
            </w:r>
          </w:p>
        </w:tc>
        <w:tc>
          <w:tcPr>
            <w:tcW w:w="1371" w:type="pct"/>
          </w:tcPr>
          <w:p w14:paraId="5688C4E8" w14:textId="77777777" w:rsidR="003F7CDF" w:rsidRPr="00F83496" w:rsidRDefault="003F7CDF" w:rsidP="003F7C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496D21D3" w14:textId="57F6E0CE" w:rsidR="002F5AF7" w:rsidRPr="003F7CDF" w:rsidRDefault="003F7CDF" w:rsidP="003F7CD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Construire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Interpréter des diagrammes à bandes doubles</w:t>
            </w:r>
            <w:r w:rsidR="002F5AF7" w:rsidRPr="003F7C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  <w:p w14:paraId="3452A3E9" w14:textId="58726045" w:rsidR="002F5AF7" w:rsidRPr="003F7CDF" w:rsidRDefault="002F5AF7" w:rsidP="003F7CD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804" w:type="pct"/>
            <w:shd w:val="clear" w:color="auto" w:fill="auto"/>
          </w:tcPr>
          <w:p w14:paraId="59E3FC3B" w14:textId="21E71C62" w:rsidR="00EA3160" w:rsidRPr="003E4162" w:rsidRDefault="00EA3160" w:rsidP="00EA316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échelles appropriées et de graduations appropriées des axes 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1A503841" w14:textId="77777777" w:rsidR="00EA3160" w:rsidRPr="00211234" w:rsidRDefault="00EA3160" w:rsidP="00EA316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Lire et interpréter des représentations de données et analyser la variabilité</w:t>
            </w:r>
          </w:p>
          <w:p w14:paraId="71E8F182" w14:textId="2F35BFE6" w:rsidR="002F5AF7" w:rsidRPr="00EA3160" w:rsidRDefault="00EA3160" w:rsidP="00EA316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1123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550F70FD" w14:textId="77777777" w:rsidR="00EA3160" w:rsidRPr="00CC76BC" w:rsidRDefault="00EA3160" w:rsidP="00EA316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lastRenderedPageBreak/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047963A5" w:rsidR="002F5AF7" w:rsidRPr="00EA3160" w:rsidRDefault="00EA3160" w:rsidP="00EA316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</w:t>
            </w:r>
            <w:r w:rsidRPr="000B7DF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9CA72C7" w14:textId="77777777" w:rsidR="00E86A0A" w:rsidRPr="00EA3160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  <w:r w:rsidRPr="00EA3160">
        <w:rPr>
          <w:rFonts w:asciiTheme="majorHAnsi" w:hAnsiTheme="majorHAnsi"/>
          <w:b/>
          <w:sz w:val="20"/>
          <w:szCs w:val="20"/>
          <w:lang w:val="fr-CA"/>
        </w:rPr>
        <w:lastRenderedPageBreak/>
        <w:br w:type="page"/>
      </w:r>
    </w:p>
    <w:p w14:paraId="5FDD24AF" w14:textId="044665AB" w:rsidR="009476C7" w:rsidRDefault="009476C7" w:rsidP="009476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2A9D6E69" wp14:editId="74A17D4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des Territoires du Nord-Ouest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41D53DD1" w14:textId="59DE94BB" w:rsidR="009476C7" w:rsidRDefault="009476C7" w:rsidP="009476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statistique et la probabilité : La chance et l</w:t>
      </w:r>
      <w:r w:rsidR="0058632B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incertitude)</w:t>
      </w:r>
    </w:p>
    <w:p w14:paraId="0D7DF6DD" w14:textId="77777777" w:rsidR="00E86A0A" w:rsidRPr="009476C7" w:rsidRDefault="00E86A0A" w:rsidP="00E86A0A">
      <w:pPr>
        <w:ind w:left="720" w:firstLine="720"/>
        <w:rPr>
          <w:lang w:val="fr-CA"/>
        </w:rPr>
      </w:pPr>
    </w:p>
    <w:tbl>
      <w:tblPr>
        <w:tblStyle w:val="a7"/>
        <w:tblW w:w="507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1"/>
        <w:gridCol w:w="2660"/>
        <w:gridCol w:w="3513"/>
      </w:tblGrid>
      <w:tr w:rsidR="00E86A0A" w:rsidRPr="002F713A" w14:paraId="53EFCD76" w14:textId="77777777" w:rsidTr="002F5AF7">
        <w:trPr>
          <w:trHeight w:val="500"/>
        </w:trPr>
        <w:tc>
          <w:tcPr>
            <w:tcW w:w="1890" w:type="pct"/>
            <w:shd w:val="clear" w:color="auto" w:fill="A26299"/>
          </w:tcPr>
          <w:p w14:paraId="34743B14" w14:textId="5CCCCA71" w:rsidR="00E86A0A" w:rsidRPr="00147BC0" w:rsidRDefault="00667D1D" w:rsidP="00770D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58632B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40" w:type="pct"/>
            <w:shd w:val="clear" w:color="auto" w:fill="A26299"/>
          </w:tcPr>
          <w:p w14:paraId="6A0B40FC" w14:textId="33F84454" w:rsidR="00E86A0A" w:rsidRPr="00147BC0" w:rsidRDefault="006D407E" w:rsidP="00770D1A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70" w:type="pct"/>
            <w:shd w:val="clear" w:color="auto" w:fill="A26299"/>
          </w:tcPr>
          <w:p w14:paraId="4CC8F1C4" w14:textId="6D1C7CB9" w:rsidR="00E86A0A" w:rsidRPr="002D170B" w:rsidRDefault="002D170B" w:rsidP="00770D1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2D170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E86A0A" w:rsidRPr="00462E55" w14:paraId="45849257" w14:textId="77777777" w:rsidTr="002F5AF7">
        <w:trPr>
          <w:trHeight w:val="20"/>
        </w:trPr>
        <w:tc>
          <w:tcPr>
            <w:tcW w:w="1890" w:type="pct"/>
          </w:tcPr>
          <w:p w14:paraId="028505A5" w14:textId="246F4092" w:rsidR="00667D1D" w:rsidRPr="001E6367" w:rsidRDefault="00667D1D" w:rsidP="00770D1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31A9F8DE" w14:textId="759D567F" w:rsidR="00E86A0A" w:rsidRPr="001E6367" w:rsidRDefault="0031569B" w:rsidP="00770D1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probabilités, expérimentale ou théorique, pour représenter et résoudre des problèmes comportant des incertitudes</w:t>
            </w:r>
            <w:r w:rsidR="00F41626" w:rsidRPr="001E636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6069F716" w14:textId="1A522ED0" w:rsidR="00667D1D" w:rsidRPr="001E6367" w:rsidRDefault="00667D1D" w:rsidP="00770D1A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58632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64C945B3" w14:textId="2629EB95" w:rsidR="00554F01" w:rsidRPr="001E6367" w:rsidRDefault="00F41626" w:rsidP="00770D1A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E86A0A" w:rsidRPr="001E636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E86A0A" w:rsidRPr="001E636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54F01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la probabilité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54F01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seul résultat en employant des mots tels que :</w:t>
            </w:r>
          </w:p>
          <w:p w14:paraId="1FB9CCA3" w14:textId="77777777" w:rsidR="00554F01" w:rsidRPr="001E6367" w:rsidRDefault="00554F01" w:rsidP="00770D1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impossible;</w:t>
            </w:r>
          </w:p>
          <w:p w14:paraId="4D1F984F" w14:textId="77777777" w:rsidR="00554F01" w:rsidRPr="001E6367" w:rsidRDefault="00554F01" w:rsidP="00770D1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possible;</w:t>
            </w:r>
          </w:p>
          <w:p w14:paraId="5228B5E3" w14:textId="51606E54" w:rsidR="00D245D6" w:rsidRPr="001E6367" w:rsidRDefault="00554F01" w:rsidP="00770D1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certain.</w:t>
            </w:r>
          </w:p>
        </w:tc>
        <w:tc>
          <w:tcPr>
            <w:tcW w:w="1340" w:type="pct"/>
          </w:tcPr>
          <w:p w14:paraId="0A4B9092" w14:textId="154CD7C7" w:rsidR="00E86A0A" w:rsidRPr="001E6367" w:rsidRDefault="00DD391F" w:rsidP="00770D1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2 : La probabilité </w:t>
            </w:r>
            <w:r w:rsidR="005A56D9"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(National)</w:t>
            </w:r>
          </w:p>
          <w:p w14:paraId="0FF5E139" w14:textId="6AA03F56" w:rsidR="00E86A0A" w:rsidRPr="001E6367" w:rsidRDefault="00DD391F" w:rsidP="00770D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66CDF350" w14:textId="77777777" w:rsidR="00E86A0A" w:rsidRPr="001E6367" w:rsidRDefault="00E86A0A" w:rsidP="00770D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0" w:type="pct"/>
            <w:shd w:val="clear" w:color="auto" w:fill="auto"/>
          </w:tcPr>
          <w:p w14:paraId="66707437" w14:textId="77777777" w:rsidR="00462E55" w:rsidRPr="001E6367" w:rsidRDefault="00462E55" w:rsidP="00462E5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1E6367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</w:t>
            </w:r>
            <w:r w:rsidRPr="001E6367">
              <w:rPr>
                <w:rFonts w:asciiTheme="majorHAnsi" w:hAnsiTheme="majorHAnsi" w:cstheme="majorHAnsi"/>
                <w:b/>
                <w:spacing w:val="-8"/>
                <w:sz w:val="20"/>
                <w:szCs w:val="20"/>
                <w:lang w:val="fr-CA"/>
              </w:rPr>
              <w:t xml:space="preserve">Formuler des questions, </w:t>
            </w:r>
            <w:r w:rsidRPr="001E6367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recueillir des données et regrouper ces données dans des représentations visuelles ou graphiques nous aide à comprendre, prédire et interpréter des situations incertaines, variables ou aléatoires. 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1BF5F354" w14:textId="51BCDE66" w:rsidR="00E86A0A" w:rsidRPr="001E6367" w:rsidRDefault="00462E55" w:rsidP="00462E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6367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Déterminer la probabilité de résultats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en se servant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continuum de probabilités qui emploie des mots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(p. ex., impossible, peu probable, probable, certain).</w:t>
            </w:r>
          </w:p>
        </w:tc>
      </w:tr>
      <w:tr w:rsidR="00E86A0A" w:rsidRPr="00462E55" w14:paraId="20101F21" w14:textId="77777777" w:rsidTr="002F5AF7">
        <w:trPr>
          <w:trHeight w:val="20"/>
        </w:trPr>
        <w:tc>
          <w:tcPr>
            <w:tcW w:w="1890" w:type="pct"/>
          </w:tcPr>
          <w:p w14:paraId="12DC6E59" w14:textId="77777777" w:rsidR="0020355A" w:rsidRPr="001E6367" w:rsidRDefault="00D245D6" w:rsidP="00770D1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4. </w:t>
            </w:r>
            <w:r w:rsidR="0020355A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la probabilité de deux résultats possibles en employant des mots tels que :</w:t>
            </w:r>
          </w:p>
          <w:p w14:paraId="097916B4" w14:textId="77777777" w:rsidR="0020355A" w:rsidRPr="001E6367" w:rsidRDefault="0020355A" w:rsidP="00770D1A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probables;</w:t>
            </w:r>
          </w:p>
          <w:p w14:paraId="740F69DD" w14:textId="77777777" w:rsidR="0020355A" w:rsidRPr="001E6367" w:rsidRDefault="0020355A" w:rsidP="00770D1A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équiprobables;</w:t>
            </w:r>
          </w:p>
          <w:p w14:paraId="09EEEF9F" w14:textId="09FAC2CA" w:rsidR="00D245D6" w:rsidRPr="001E6367" w:rsidRDefault="0020355A" w:rsidP="00770D1A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probables.</w:t>
            </w:r>
          </w:p>
        </w:tc>
        <w:tc>
          <w:tcPr>
            <w:tcW w:w="1340" w:type="pct"/>
          </w:tcPr>
          <w:p w14:paraId="2E6B5C56" w14:textId="61CBAD36" w:rsidR="00E86A0A" w:rsidRPr="001E6367" w:rsidRDefault="00DD391F" w:rsidP="00770D1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2 : La probabilité</w:t>
            </w:r>
            <w:r w:rsidR="005A56D9"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(National)</w:t>
            </w:r>
          </w:p>
          <w:p w14:paraId="2C5DBFE8" w14:textId="5F0B9D3A" w:rsidR="00DD391F" w:rsidRPr="001E6367" w:rsidRDefault="00DD391F" w:rsidP="00770D1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1DF404B6" w14:textId="3CBAAD16" w:rsidR="00E86A0A" w:rsidRPr="001E6367" w:rsidRDefault="00DD391F" w:rsidP="00770D1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</w:p>
        </w:tc>
        <w:tc>
          <w:tcPr>
            <w:tcW w:w="1770" w:type="pct"/>
            <w:shd w:val="clear" w:color="auto" w:fill="auto"/>
          </w:tcPr>
          <w:p w14:paraId="62CE5141" w14:textId="0B5D3790" w:rsidR="00E86A0A" w:rsidRPr="001E6367" w:rsidRDefault="00462E55" w:rsidP="00770D1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6367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1E6367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</w:t>
            </w:r>
            <w:r w:rsidRPr="001E6367">
              <w:rPr>
                <w:rFonts w:asciiTheme="majorHAnsi" w:hAnsiTheme="majorHAnsi" w:cstheme="majorHAnsi"/>
                <w:b/>
                <w:spacing w:val="-8"/>
                <w:sz w:val="20"/>
                <w:szCs w:val="20"/>
                <w:lang w:val="fr-CA"/>
              </w:rPr>
              <w:t xml:space="preserve">Formuler des questions, </w:t>
            </w:r>
            <w:r w:rsidRPr="001E6367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recueillir des données et regrouper ces données dans des représentations visuelles ou graphiques nous aide à comprendre, prédire et interpréter des situations incertaines, variables ou aléatoires. </w:t>
            </w:r>
            <w:r w:rsidRPr="001E636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Pr="001E636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Faire la distinction entre des événements également probables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(p. ex., pile ou face avec une pièce de monnaie) et des événements qui ne sont pas également probables (p. ex., une roue avec des sections de taille différente).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Déterminer l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5863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1E63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539F7114" w14:textId="45431D39" w:rsidR="007174F8" w:rsidRPr="00462E55" w:rsidRDefault="007174F8" w:rsidP="00A852E6">
      <w:pPr>
        <w:tabs>
          <w:tab w:val="left" w:pos="1545"/>
        </w:tabs>
        <w:rPr>
          <w:rFonts w:asciiTheme="majorHAnsi" w:hAnsiTheme="majorHAnsi"/>
          <w:b/>
          <w:sz w:val="20"/>
          <w:szCs w:val="20"/>
          <w:lang w:val="fr-CA"/>
        </w:rPr>
      </w:pPr>
    </w:p>
    <w:sectPr w:rsidR="007174F8" w:rsidRPr="00462E55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411A" w14:textId="77777777" w:rsidR="00CB3945" w:rsidRDefault="00CB3945">
      <w:r>
        <w:separator/>
      </w:r>
    </w:p>
  </w:endnote>
  <w:endnote w:type="continuationSeparator" w:id="0">
    <w:p w14:paraId="56D2E176" w14:textId="77777777" w:rsidR="00CB3945" w:rsidRDefault="00C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AC66AB8" w:rsidR="009819B5" w:rsidRPr="00654C89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654C89">
      <w:rPr>
        <w:color w:val="000000"/>
        <w:lang w:val="fr-CA"/>
      </w:rPr>
      <w:t>Matholog</w:t>
    </w:r>
    <w:r w:rsidR="00654C89" w:rsidRPr="00654C89">
      <w:rPr>
        <w:color w:val="000000"/>
        <w:lang w:val="fr-CA"/>
      </w:rPr>
      <w:t>ie</w:t>
    </w:r>
    <w:r w:rsidRPr="00654C89">
      <w:rPr>
        <w:color w:val="000000"/>
        <w:lang w:val="fr-CA"/>
      </w:rPr>
      <w:t xml:space="preserve"> </w:t>
    </w:r>
    <w:r w:rsidR="00434B59" w:rsidRPr="00654C89">
      <w:rPr>
        <w:color w:val="000000"/>
        <w:lang w:val="fr-CA"/>
      </w:rPr>
      <w:t>5</w:t>
    </w:r>
    <w:r w:rsidR="00654C89" w:rsidRPr="00654C89">
      <w:rPr>
        <w:color w:val="000000"/>
        <w:lang w:val="fr-CA"/>
      </w:rPr>
      <w:t>,</w:t>
    </w:r>
    <w:r w:rsidRPr="00654C89">
      <w:rPr>
        <w:color w:val="000000"/>
        <w:lang w:val="fr-CA"/>
      </w:rPr>
      <w:t xml:space="preserve"> Corr</w:t>
    </w:r>
    <w:r w:rsidR="00654C89" w:rsidRPr="00654C89">
      <w:rPr>
        <w:color w:val="000000"/>
        <w:lang w:val="fr-CA"/>
      </w:rPr>
      <w:t>é</w:t>
    </w:r>
    <w:r w:rsidRPr="00654C89">
      <w:rPr>
        <w:color w:val="000000"/>
        <w:lang w:val="fr-CA"/>
      </w:rPr>
      <w:t xml:space="preserve">lation – </w:t>
    </w:r>
    <w:r w:rsidR="009819B5">
      <w:rPr>
        <w:noProof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4C89">
      <w:rPr>
        <w:color w:val="000000"/>
        <w:lang w:val="fr-CA"/>
      </w:rPr>
      <w:t>Territoires du Nord-Ouest</w:t>
    </w:r>
  </w:p>
  <w:p w14:paraId="7B363522" w14:textId="77777777" w:rsidR="009819B5" w:rsidRPr="00654C89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654C89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654C89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="004865F1" w:rsidRPr="00654C89">
      <w:rPr>
        <w:noProof/>
        <w:color w:val="000000"/>
        <w:lang w:val="fr-CA"/>
      </w:rPr>
      <w:t>17</w:t>
    </w:r>
    <w:r>
      <w:rPr>
        <w:color w:val="000000"/>
      </w:rPr>
      <w:fldChar w:fldCharType="end"/>
    </w:r>
    <w:r w:rsidRPr="00654C89">
      <w:rPr>
        <w:b/>
        <w:color w:val="000000"/>
        <w:lang w:val="fr-CA"/>
      </w:rPr>
      <w:t xml:space="preserve"> </w:t>
    </w:r>
    <w:r w:rsidRPr="00654C89">
      <w:rPr>
        <w:color w:val="000000"/>
        <w:lang w:val="fr-CA"/>
      </w:rPr>
      <w:t>|</w:t>
    </w:r>
    <w:r w:rsidRPr="00654C89">
      <w:rPr>
        <w:b/>
        <w:color w:val="000000"/>
        <w:lang w:val="fr-CA"/>
      </w:rPr>
      <w:t xml:space="preserve"> </w:t>
    </w:r>
    <w:r w:rsidRPr="00654C89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178A" w14:textId="77777777" w:rsidR="00CB3945" w:rsidRDefault="00CB3945">
      <w:r>
        <w:separator/>
      </w:r>
    </w:p>
  </w:footnote>
  <w:footnote w:type="continuationSeparator" w:id="0">
    <w:p w14:paraId="7625073F" w14:textId="77777777" w:rsidR="00CB3945" w:rsidRDefault="00CB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9E6"/>
    <w:multiLevelType w:val="hybridMultilevel"/>
    <w:tmpl w:val="CA70D34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568"/>
    <w:multiLevelType w:val="hybridMultilevel"/>
    <w:tmpl w:val="CB40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BAD"/>
    <w:multiLevelType w:val="hybridMultilevel"/>
    <w:tmpl w:val="697E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1DE4"/>
    <w:multiLevelType w:val="hybridMultilevel"/>
    <w:tmpl w:val="D47E85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F47462D"/>
    <w:multiLevelType w:val="hybridMultilevel"/>
    <w:tmpl w:val="F0D4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22016"/>
    <w:multiLevelType w:val="hybridMultilevel"/>
    <w:tmpl w:val="5492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BDD"/>
    <w:multiLevelType w:val="hybridMultilevel"/>
    <w:tmpl w:val="B6A4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73F9"/>
    <w:multiLevelType w:val="hybridMultilevel"/>
    <w:tmpl w:val="E59E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8EA78A8"/>
    <w:multiLevelType w:val="hybridMultilevel"/>
    <w:tmpl w:val="3216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74913">
    <w:abstractNumId w:val="16"/>
  </w:num>
  <w:num w:numId="2" w16cid:durableId="287006590">
    <w:abstractNumId w:val="20"/>
  </w:num>
  <w:num w:numId="3" w16cid:durableId="728307123">
    <w:abstractNumId w:val="2"/>
  </w:num>
  <w:num w:numId="4" w16cid:durableId="772671022">
    <w:abstractNumId w:val="13"/>
  </w:num>
  <w:num w:numId="5" w16cid:durableId="622425582">
    <w:abstractNumId w:val="30"/>
  </w:num>
  <w:num w:numId="6" w16cid:durableId="1410735801">
    <w:abstractNumId w:val="12"/>
  </w:num>
  <w:num w:numId="7" w16cid:durableId="959334767">
    <w:abstractNumId w:val="27"/>
  </w:num>
  <w:num w:numId="8" w16cid:durableId="1092970079">
    <w:abstractNumId w:val="34"/>
  </w:num>
  <w:num w:numId="9" w16cid:durableId="1338189287">
    <w:abstractNumId w:val="23"/>
  </w:num>
  <w:num w:numId="10" w16cid:durableId="1362122564">
    <w:abstractNumId w:val="31"/>
  </w:num>
  <w:num w:numId="11" w16cid:durableId="1230576743">
    <w:abstractNumId w:val="25"/>
  </w:num>
  <w:num w:numId="12" w16cid:durableId="946160556">
    <w:abstractNumId w:val="29"/>
  </w:num>
  <w:num w:numId="13" w16cid:durableId="535002660">
    <w:abstractNumId w:val="4"/>
  </w:num>
  <w:num w:numId="14" w16cid:durableId="1046492749">
    <w:abstractNumId w:val="6"/>
  </w:num>
  <w:num w:numId="15" w16cid:durableId="1919749635">
    <w:abstractNumId w:val="21"/>
  </w:num>
  <w:num w:numId="16" w16cid:durableId="633023494">
    <w:abstractNumId w:val="26"/>
  </w:num>
  <w:num w:numId="17" w16cid:durableId="87821156">
    <w:abstractNumId w:val="9"/>
  </w:num>
  <w:num w:numId="18" w16cid:durableId="979771685">
    <w:abstractNumId w:val="19"/>
  </w:num>
  <w:num w:numId="19" w16cid:durableId="1124081998">
    <w:abstractNumId w:val="33"/>
  </w:num>
  <w:num w:numId="20" w16cid:durableId="1746107445">
    <w:abstractNumId w:val="22"/>
  </w:num>
  <w:num w:numId="21" w16cid:durableId="1780761894">
    <w:abstractNumId w:val="7"/>
  </w:num>
  <w:num w:numId="22" w16cid:durableId="299000249">
    <w:abstractNumId w:val="0"/>
  </w:num>
  <w:num w:numId="23" w16cid:durableId="1740636254">
    <w:abstractNumId w:val="28"/>
  </w:num>
  <w:num w:numId="24" w16cid:durableId="1702903564">
    <w:abstractNumId w:val="32"/>
  </w:num>
  <w:num w:numId="25" w16cid:durableId="1167818197">
    <w:abstractNumId w:val="8"/>
  </w:num>
  <w:num w:numId="26" w16cid:durableId="1958641551">
    <w:abstractNumId w:val="24"/>
  </w:num>
  <w:num w:numId="27" w16cid:durableId="1191451933">
    <w:abstractNumId w:val="36"/>
  </w:num>
  <w:num w:numId="28" w16cid:durableId="62265519">
    <w:abstractNumId w:val="14"/>
  </w:num>
  <w:num w:numId="29" w16cid:durableId="235626940">
    <w:abstractNumId w:val="17"/>
  </w:num>
  <w:num w:numId="30" w16cid:durableId="1773236838">
    <w:abstractNumId w:val="3"/>
  </w:num>
  <w:num w:numId="31" w16cid:durableId="362249645">
    <w:abstractNumId w:val="5"/>
  </w:num>
  <w:num w:numId="32" w16cid:durableId="2133476321">
    <w:abstractNumId w:val="11"/>
  </w:num>
  <w:num w:numId="33" w16cid:durableId="1277562351">
    <w:abstractNumId w:val="15"/>
  </w:num>
  <w:num w:numId="34" w16cid:durableId="1576623600">
    <w:abstractNumId w:val="35"/>
  </w:num>
  <w:num w:numId="35" w16cid:durableId="1021198880">
    <w:abstractNumId w:val="1"/>
  </w:num>
  <w:num w:numId="36" w16cid:durableId="1760565964">
    <w:abstractNumId w:val="18"/>
  </w:num>
  <w:num w:numId="37" w16cid:durableId="973096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3346"/>
    <w:rsid w:val="0001074A"/>
    <w:rsid w:val="00010D83"/>
    <w:rsid w:val="00011C66"/>
    <w:rsid w:val="00012A5E"/>
    <w:rsid w:val="000169DD"/>
    <w:rsid w:val="00025264"/>
    <w:rsid w:val="00025812"/>
    <w:rsid w:val="00030473"/>
    <w:rsid w:val="00032CB5"/>
    <w:rsid w:val="000332DE"/>
    <w:rsid w:val="00034C75"/>
    <w:rsid w:val="00037A75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80EF8"/>
    <w:rsid w:val="00081808"/>
    <w:rsid w:val="00081E9E"/>
    <w:rsid w:val="00084A20"/>
    <w:rsid w:val="00087DD0"/>
    <w:rsid w:val="00096123"/>
    <w:rsid w:val="00097C6A"/>
    <w:rsid w:val="000A05A0"/>
    <w:rsid w:val="000B088D"/>
    <w:rsid w:val="000B1425"/>
    <w:rsid w:val="000B1B3C"/>
    <w:rsid w:val="000B431F"/>
    <w:rsid w:val="000B631A"/>
    <w:rsid w:val="000C1AD7"/>
    <w:rsid w:val="000C1C40"/>
    <w:rsid w:val="000C4E15"/>
    <w:rsid w:val="000C7438"/>
    <w:rsid w:val="000D0DB9"/>
    <w:rsid w:val="000D115F"/>
    <w:rsid w:val="000D120C"/>
    <w:rsid w:val="000D159B"/>
    <w:rsid w:val="000D1F3F"/>
    <w:rsid w:val="000D2085"/>
    <w:rsid w:val="000D5D1B"/>
    <w:rsid w:val="000E3742"/>
    <w:rsid w:val="000E6C14"/>
    <w:rsid w:val="000E77E5"/>
    <w:rsid w:val="000F14D7"/>
    <w:rsid w:val="000F1DE8"/>
    <w:rsid w:val="000F36D1"/>
    <w:rsid w:val="000F74BF"/>
    <w:rsid w:val="00100346"/>
    <w:rsid w:val="0010312C"/>
    <w:rsid w:val="00106595"/>
    <w:rsid w:val="001134AD"/>
    <w:rsid w:val="001154E5"/>
    <w:rsid w:val="00122532"/>
    <w:rsid w:val="00123A82"/>
    <w:rsid w:val="00126735"/>
    <w:rsid w:val="00127BBF"/>
    <w:rsid w:val="00130512"/>
    <w:rsid w:val="0013594B"/>
    <w:rsid w:val="0014362E"/>
    <w:rsid w:val="00143638"/>
    <w:rsid w:val="001444DC"/>
    <w:rsid w:val="00144B05"/>
    <w:rsid w:val="00145881"/>
    <w:rsid w:val="001473D9"/>
    <w:rsid w:val="00147BC0"/>
    <w:rsid w:val="0015642D"/>
    <w:rsid w:val="00165014"/>
    <w:rsid w:val="00165CDC"/>
    <w:rsid w:val="001676E4"/>
    <w:rsid w:val="00167A19"/>
    <w:rsid w:val="00176937"/>
    <w:rsid w:val="001828BE"/>
    <w:rsid w:val="00183563"/>
    <w:rsid w:val="00184DAC"/>
    <w:rsid w:val="00187F1B"/>
    <w:rsid w:val="00192531"/>
    <w:rsid w:val="00192CA0"/>
    <w:rsid w:val="00193FEE"/>
    <w:rsid w:val="00195251"/>
    <w:rsid w:val="00196819"/>
    <w:rsid w:val="001A0CF6"/>
    <w:rsid w:val="001A0CFC"/>
    <w:rsid w:val="001A10F4"/>
    <w:rsid w:val="001A15EB"/>
    <w:rsid w:val="001A4961"/>
    <w:rsid w:val="001A6CAE"/>
    <w:rsid w:val="001B006F"/>
    <w:rsid w:val="001B5541"/>
    <w:rsid w:val="001B5D97"/>
    <w:rsid w:val="001B5F67"/>
    <w:rsid w:val="001B675C"/>
    <w:rsid w:val="001C0005"/>
    <w:rsid w:val="001C4A0C"/>
    <w:rsid w:val="001C5480"/>
    <w:rsid w:val="001C777A"/>
    <w:rsid w:val="001D6022"/>
    <w:rsid w:val="001E02B8"/>
    <w:rsid w:val="001E2535"/>
    <w:rsid w:val="001E2DA7"/>
    <w:rsid w:val="001E327D"/>
    <w:rsid w:val="001E3DB8"/>
    <w:rsid w:val="001E5CEF"/>
    <w:rsid w:val="001E5E8B"/>
    <w:rsid w:val="001E6367"/>
    <w:rsid w:val="001F2B85"/>
    <w:rsid w:val="001F61C0"/>
    <w:rsid w:val="00202DDA"/>
    <w:rsid w:val="0020355A"/>
    <w:rsid w:val="0020711D"/>
    <w:rsid w:val="0020750B"/>
    <w:rsid w:val="00212433"/>
    <w:rsid w:val="00212DD7"/>
    <w:rsid w:val="00221F79"/>
    <w:rsid w:val="002254D2"/>
    <w:rsid w:val="002261C6"/>
    <w:rsid w:val="0022754A"/>
    <w:rsid w:val="00230D0F"/>
    <w:rsid w:val="002320BE"/>
    <w:rsid w:val="00240B4D"/>
    <w:rsid w:val="002425BF"/>
    <w:rsid w:val="00242D2F"/>
    <w:rsid w:val="00245E83"/>
    <w:rsid w:val="0024673C"/>
    <w:rsid w:val="00260234"/>
    <w:rsid w:val="002649C7"/>
    <w:rsid w:val="002811A2"/>
    <w:rsid w:val="00290505"/>
    <w:rsid w:val="0029097C"/>
    <w:rsid w:val="00297B4C"/>
    <w:rsid w:val="002A0601"/>
    <w:rsid w:val="002A379F"/>
    <w:rsid w:val="002A59F4"/>
    <w:rsid w:val="002A6396"/>
    <w:rsid w:val="002B0094"/>
    <w:rsid w:val="002B1787"/>
    <w:rsid w:val="002B35E0"/>
    <w:rsid w:val="002B53FD"/>
    <w:rsid w:val="002B59B1"/>
    <w:rsid w:val="002C0530"/>
    <w:rsid w:val="002C0698"/>
    <w:rsid w:val="002C0FB9"/>
    <w:rsid w:val="002C1D63"/>
    <w:rsid w:val="002C23CC"/>
    <w:rsid w:val="002C2D4F"/>
    <w:rsid w:val="002C2E0E"/>
    <w:rsid w:val="002C2EE4"/>
    <w:rsid w:val="002C3BFC"/>
    <w:rsid w:val="002C5E12"/>
    <w:rsid w:val="002D170B"/>
    <w:rsid w:val="002D7E45"/>
    <w:rsid w:val="002E0391"/>
    <w:rsid w:val="002E5322"/>
    <w:rsid w:val="002E7767"/>
    <w:rsid w:val="002F5189"/>
    <w:rsid w:val="002F5AF7"/>
    <w:rsid w:val="002F713A"/>
    <w:rsid w:val="00301597"/>
    <w:rsid w:val="003030D5"/>
    <w:rsid w:val="00307052"/>
    <w:rsid w:val="00307C6E"/>
    <w:rsid w:val="003124E3"/>
    <w:rsid w:val="0031262F"/>
    <w:rsid w:val="0031569B"/>
    <w:rsid w:val="003174F7"/>
    <w:rsid w:val="00321E6D"/>
    <w:rsid w:val="00327784"/>
    <w:rsid w:val="003341D6"/>
    <w:rsid w:val="003363DA"/>
    <w:rsid w:val="00336638"/>
    <w:rsid w:val="003406A1"/>
    <w:rsid w:val="00341CEA"/>
    <w:rsid w:val="00345D0D"/>
    <w:rsid w:val="003472A9"/>
    <w:rsid w:val="00351B1D"/>
    <w:rsid w:val="0035367F"/>
    <w:rsid w:val="0036162D"/>
    <w:rsid w:val="0036459E"/>
    <w:rsid w:val="0037337E"/>
    <w:rsid w:val="00373A63"/>
    <w:rsid w:val="00373BBC"/>
    <w:rsid w:val="003818E4"/>
    <w:rsid w:val="00387D52"/>
    <w:rsid w:val="003A40B7"/>
    <w:rsid w:val="003A4786"/>
    <w:rsid w:val="003B2688"/>
    <w:rsid w:val="003B2FD4"/>
    <w:rsid w:val="003B49A5"/>
    <w:rsid w:val="003B6D6B"/>
    <w:rsid w:val="003C0F39"/>
    <w:rsid w:val="003C3133"/>
    <w:rsid w:val="003D6347"/>
    <w:rsid w:val="003E55A4"/>
    <w:rsid w:val="003E5655"/>
    <w:rsid w:val="003E570E"/>
    <w:rsid w:val="003E5C5D"/>
    <w:rsid w:val="003F0401"/>
    <w:rsid w:val="003F661B"/>
    <w:rsid w:val="003F7CDF"/>
    <w:rsid w:val="00401723"/>
    <w:rsid w:val="004047C6"/>
    <w:rsid w:val="004060CD"/>
    <w:rsid w:val="0041422F"/>
    <w:rsid w:val="004147C6"/>
    <w:rsid w:val="00417D27"/>
    <w:rsid w:val="00426F24"/>
    <w:rsid w:val="004318C1"/>
    <w:rsid w:val="00434B59"/>
    <w:rsid w:val="00437EF3"/>
    <w:rsid w:val="004407B7"/>
    <w:rsid w:val="00443BAC"/>
    <w:rsid w:val="00443D38"/>
    <w:rsid w:val="00444C99"/>
    <w:rsid w:val="00447442"/>
    <w:rsid w:val="00451312"/>
    <w:rsid w:val="004532A7"/>
    <w:rsid w:val="00457D72"/>
    <w:rsid w:val="00462E55"/>
    <w:rsid w:val="004647A1"/>
    <w:rsid w:val="00476B2E"/>
    <w:rsid w:val="00480C28"/>
    <w:rsid w:val="00482622"/>
    <w:rsid w:val="004865F1"/>
    <w:rsid w:val="00496EAB"/>
    <w:rsid w:val="004A43E4"/>
    <w:rsid w:val="004A4960"/>
    <w:rsid w:val="004A5693"/>
    <w:rsid w:val="004B0562"/>
    <w:rsid w:val="004C144E"/>
    <w:rsid w:val="004C6E50"/>
    <w:rsid w:val="004C7FFE"/>
    <w:rsid w:val="004D3D1B"/>
    <w:rsid w:val="004E4D90"/>
    <w:rsid w:val="004F245E"/>
    <w:rsid w:val="004F38CA"/>
    <w:rsid w:val="00503849"/>
    <w:rsid w:val="00503DDE"/>
    <w:rsid w:val="00504685"/>
    <w:rsid w:val="00507937"/>
    <w:rsid w:val="00512AAB"/>
    <w:rsid w:val="0051531D"/>
    <w:rsid w:val="00521259"/>
    <w:rsid w:val="00522D13"/>
    <w:rsid w:val="00524722"/>
    <w:rsid w:val="005329F6"/>
    <w:rsid w:val="00532B6E"/>
    <w:rsid w:val="00534E9B"/>
    <w:rsid w:val="0053734B"/>
    <w:rsid w:val="00542D99"/>
    <w:rsid w:val="00542DC0"/>
    <w:rsid w:val="0054417B"/>
    <w:rsid w:val="00552748"/>
    <w:rsid w:val="00554F01"/>
    <w:rsid w:val="0056237E"/>
    <w:rsid w:val="0056742A"/>
    <w:rsid w:val="00572C81"/>
    <w:rsid w:val="00573958"/>
    <w:rsid w:val="00574570"/>
    <w:rsid w:val="0058123C"/>
    <w:rsid w:val="005816B2"/>
    <w:rsid w:val="00584871"/>
    <w:rsid w:val="0058632B"/>
    <w:rsid w:val="00590A16"/>
    <w:rsid w:val="00590F77"/>
    <w:rsid w:val="0059747B"/>
    <w:rsid w:val="00597A03"/>
    <w:rsid w:val="005A1423"/>
    <w:rsid w:val="005A369F"/>
    <w:rsid w:val="005A56D9"/>
    <w:rsid w:val="005A7255"/>
    <w:rsid w:val="005B360E"/>
    <w:rsid w:val="005B697B"/>
    <w:rsid w:val="005C09C8"/>
    <w:rsid w:val="005C4BB1"/>
    <w:rsid w:val="005D3B7D"/>
    <w:rsid w:val="005D5A85"/>
    <w:rsid w:val="005E0805"/>
    <w:rsid w:val="005E3D94"/>
    <w:rsid w:val="005F588E"/>
    <w:rsid w:val="00600E09"/>
    <w:rsid w:val="00607763"/>
    <w:rsid w:val="00616B8B"/>
    <w:rsid w:val="0062151F"/>
    <w:rsid w:val="0062255C"/>
    <w:rsid w:val="0062694F"/>
    <w:rsid w:val="0063234E"/>
    <w:rsid w:val="00632AE4"/>
    <w:rsid w:val="0063558F"/>
    <w:rsid w:val="006411FD"/>
    <w:rsid w:val="006430BF"/>
    <w:rsid w:val="006458D8"/>
    <w:rsid w:val="00646017"/>
    <w:rsid w:val="0064752A"/>
    <w:rsid w:val="00654980"/>
    <w:rsid w:val="00654C89"/>
    <w:rsid w:val="00656C3B"/>
    <w:rsid w:val="006626E9"/>
    <w:rsid w:val="0066337B"/>
    <w:rsid w:val="00667D1D"/>
    <w:rsid w:val="006801B3"/>
    <w:rsid w:val="00681909"/>
    <w:rsid w:val="006832AE"/>
    <w:rsid w:val="00691CAD"/>
    <w:rsid w:val="0069398C"/>
    <w:rsid w:val="006939B9"/>
    <w:rsid w:val="0069406F"/>
    <w:rsid w:val="0069510D"/>
    <w:rsid w:val="00696C95"/>
    <w:rsid w:val="006A15E1"/>
    <w:rsid w:val="006A471D"/>
    <w:rsid w:val="006B1B87"/>
    <w:rsid w:val="006B2144"/>
    <w:rsid w:val="006C1F41"/>
    <w:rsid w:val="006C51BC"/>
    <w:rsid w:val="006C5A06"/>
    <w:rsid w:val="006D0DC7"/>
    <w:rsid w:val="006D13DF"/>
    <w:rsid w:val="006D15B1"/>
    <w:rsid w:val="006D407E"/>
    <w:rsid w:val="006D5F76"/>
    <w:rsid w:val="006E35CA"/>
    <w:rsid w:val="006E5567"/>
    <w:rsid w:val="006F2609"/>
    <w:rsid w:val="006F49FA"/>
    <w:rsid w:val="006F58AB"/>
    <w:rsid w:val="006F6222"/>
    <w:rsid w:val="007004C6"/>
    <w:rsid w:val="00701B7E"/>
    <w:rsid w:val="007174F8"/>
    <w:rsid w:val="00720DA6"/>
    <w:rsid w:val="00723AAC"/>
    <w:rsid w:val="00725D4D"/>
    <w:rsid w:val="007272A0"/>
    <w:rsid w:val="007348E0"/>
    <w:rsid w:val="00734F96"/>
    <w:rsid w:val="007352E4"/>
    <w:rsid w:val="00735DD2"/>
    <w:rsid w:val="007418B7"/>
    <w:rsid w:val="00744922"/>
    <w:rsid w:val="00745A51"/>
    <w:rsid w:val="00746E56"/>
    <w:rsid w:val="0074747F"/>
    <w:rsid w:val="007478FD"/>
    <w:rsid w:val="0075046E"/>
    <w:rsid w:val="00754AFB"/>
    <w:rsid w:val="007636F0"/>
    <w:rsid w:val="00764775"/>
    <w:rsid w:val="00770D1A"/>
    <w:rsid w:val="0077482F"/>
    <w:rsid w:val="00774BB5"/>
    <w:rsid w:val="00776A9E"/>
    <w:rsid w:val="00777989"/>
    <w:rsid w:val="007800D4"/>
    <w:rsid w:val="00781A13"/>
    <w:rsid w:val="00781B6C"/>
    <w:rsid w:val="00781FFC"/>
    <w:rsid w:val="00782FC5"/>
    <w:rsid w:val="00784B12"/>
    <w:rsid w:val="00785DB8"/>
    <w:rsid w:val="007877A7"/>
    <w:rsid w:val="00792557"/>
    <w:rsid w:val="0079270C"/>
    <w:rsid w:val="007A12DC"/>
    <w:rsid w:val="007A7BAA"/>
    <w:rsid w:val="007B580B"/>
    <w:rsid w:val="007C292C"/>
    <w:rsid w:val="007C6348"/>
    <w:rsid w:val="007C6CAC"/>
    <w:rsid w:val="007D119E"/>
    <w:rsid w:val="007D2C56"/>
    <w:rsid w:val="007D58A3"/>
    <w:rsid w:val="007D651B"/>
    <w:rsid w:val="007E26E3"/>
    <w:rsid w:val="007F57FE"/>
    <w:rsid w:val="00803E9B"/>
    <w:rsid w:val="00806609"/>
    <w:rsid w:val="0081071F"/>
    <w:rsid w:val="008119EC"/>
    <w:rsid w:val="00811A31"/>
    <w:rsid w:val="00811F77"/>
    <w:rsid w:val="0082296B"/>
    <w:rsid w:val="008241C0"/>
    <w:rsid w:val="00833897"/>
    <w:rsid w:val="008411D7"/>
    <w:rsid w:val="00844CC5"/>
    <w:rsid w:val="00851F68"/>
    <w:rsid w:val="0085393F"/>
    <w:rsid w:val="00864FAB"/>
    <w:rsid w:val="0086627E"/>
    <w:rsid w:val="00874D8B"/>
    <w:rsid w:val="00884B22"/>
    <w:rsid w:val="00891AD5"/>
    <w:rsid w:val="008925F9"/>
    <w:rsid w:val="0089630C"/>
    <w:rsid w:val="0089762B"/>
    <w:rsid w:val="008A1853"/>
    <w:rsid w:val="008A2B1B"/>
    <w:rsid w:val="008A49CA"/>
    <w:rsid w:val="008A711F"/>
    <w:rsid w:val="008B26C7"/>
    <w:rsid w:val="008B3D6C"/>
    <w:rsid w:val="008B4D5C"/>
    <w:rsid w:val="008C474D"/>
    <w:rsid w:val="008C7EE2"/>
    <w:rsid w:val="008D08F2"/>
    <w:rsid w:val="008D4132"/>
    <w:rsid w:val="008D6A18"/>
    <w:rsid w:val="008D7C4C"/>
    <w:rsid w:val="008E06B7"/>
    <w:rsid w:val="008E2712"/>
    <w:rsid w:val="008E41E6"/>
    <w:rsid w:val="008E4534"/>
    <w:rsid w:val="008E499E"/>
    <w:rsid w:val="008E707B"/>
    <w:rsid w:val="00901D8C"/>
    <w:rsid w:val="009144AE"/>
    <w:rsid w:val="00915BED"/>
    <w:rsid w:val="009168A0"/>
    <w:rsid w:val="009169A6"/>
    <w:rsid w:val="00920CDC"/>
    <w:rsid w:val="009251E9"/>
    <w:rsid w:val="00925FC7"/>
    <w:rsid w:val="00931151"/>
    <w:rsid w:val="009402F4"/>
    <w:rsid w:val="00941241"/>
    <w:rsid w:val="009431EF"/>
    <w:rsid w:val="0094542E"/>
    <w:rsid w:val="009468AF"/>
    <w:rsid w:val="009476C7"/>
    <w:rsid w:val="00956241"/>
    <w:rsid w:val="00961A68"/>
    <w:rsid w:val="009643B7"/>
    <w:rsid w:val="00966236"/>
    <w:rsid w:val="00966D12"/>
    <w:rsid w:val="00966E85"/>
    <w:rsid w:val="009705C4"/>
    <w:rsid w:val="00971578"/>
    <w:rsid w:val="009746C5"/>
    <w:rsid w:val="00977ACF"/>
    <w:rsid w:val="00977EA2"/>
    <w:rsid w:val="009819B5"/>
    <w:rsid w:val="00981A35"/>
    <w:rsid w:val="00997289"/>
    <w:rsid w:val="009A0F49"/>
    <w:rsid w:val="009B04F6"/>
    <w:rsid w:val="009B2137"/>
    <w:rsid w:val="009B5FFF"/>
    <w:rsid w:val="009C3794"/>
    <w:rsid w:val="009C58DE"/>
    <w:rsid w:val="009D0110"/>
    <w:rsid w:val="009E13EC"/>
    <w:rsid w:val="009E151D"/>
    <w:rsid w:val="009E3309"/>
    <w:rsid w:val="009E35E8"/>
    <w:rsid w:val="009E5380"/>
    <w:rsid w:val="009F39C2"/>
    <w:rsid w:val="00A05229"/>
    <w:rsid w:val="00A0678B"/>
    <w:rsid w:val="00A067AA"/>
    <w:rsid w:val="00A06DCF"/>
    <w:rsid w:val="00A071AE"/>
    <w:rsid w:val="00A079FA"/>
    <w:rsid w:val="00A116B8"/>
    <w:rsid w:val="00A12E17"/>
    <w:rsid w:val="00A14490"/>
    <w:rsid w:val="00A20105"/>
    <w:rsid w:val="00A23638"/>
    <w:rsid w:val="00A36AE0"/>
    <w:rsid w:val="00A42623"/>
    <w:rsid w:val="00A42B61"/>
    <w:rsid w:val="00A459DC"/>
    <w:rsid w:val="00A47CFF"/>
    <w:rsid w:val="00A50FAD"/>
    <w:rsid w:val="00A565AF"/>
    <w:rsid w:val="00A573D6"/>
    <w:rsid w:val="00A632EF"/>
    <w:rsid w:val="00A6515A"/>
    <w:rsid w:val="00A65366"/>
    <w:rsid w:val="00A721D3"/>
    <w:rsid w:val="00A730A1"/>
    <w:rsid w:val="00A76F33"/>
    <w:rsid w:val="00A77BB1"/>
    <w:rsid w:val="00A852E6"/>
    <w:rsid w:val="00A85D98"/>
    <w:rsid w:val="00A93280"/>
    <w:rsid w:val="00A9349D"/>
    <w:rsid w:val="00AA7552"/>
    <w:rsid w:val="00AB339E"/>
    <w:rsid w:val="00AC25D6"/>
    <w:rsid w:val="00AC4B4C"/>
    <w:rsid w:val="00AC6E45"/>
    <w:rsid w:val="00AD1941"/>
    <w:rsid w:val="00AD1B86"/>
    <w:rsid w:val="00AD4D1F"/>
    <w:rsid w:val="00AD613B"/>
    <w:rsid w:val="00AE155D"/>
    <w:rsid w:val="00AE32CB"/>
    <w:rsid w:val="00AF0B13"/>
    <w:rsid w:val="00AF1051"/>
    <w:rsid w:val="00AF6A58"/>
    <w:rsid w:val="00B016B2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3D6B"/>
    <w:rsid w:val="00B350A1"/>
    <w:rsid w:val="00B35A5B"/>
    <w:rsid w:val="00B43A26"/>
    <w:rsid w:val="00B453F1"/>
    <w:rsid w:val="00B45FDC"/>
    <w:rsid w:val="00B46DD9"/>
    <w:rsid w:val="00B7001A"/>
    <w:rsid w:val="00B809E8"/>
    <w:rsid w:val="00B92B0D"/>
    <w:rsid w:val="00B9397E"/>
    <w:rsid w:val="00B948DD"/>
    <w:rsid w:val="00B97C0E"/>
    <w:rsid w:val="00BA1EEB"/>
    <w:rsid w:val="00BA6162"/>
    <w:rsid w:val="00BB2E40"/>
    <w:rsid w:val="00BB4944"/>
    <w:rsid w:val="00BC44B5"/>
    <w:rsid w:val="00BD35AC"/>
    <w:rsid w:val="00BE0FD7"/>
    <w:rsid w:val="00BE26E3"/>
    <w:rsid w:val="00BF1E56"/>
    <w:rsid w:val="00BF5C7A"/>
    <w:rsid w:val="00BF7A0E"/>
    <w:rsid w:val="00C0010B"/>
    <w:rsid w:val="00C002F7"/>
    <w:rsid w:val="00C00E9F"/>
    <w:rsid w:val="00C07205"/>
    <w:rsid w:val="00C07DA9"/>
    <w:rsid w:val="00C12534"/>
    <w:rsid w:val="00C17197"/>
    <w:rsid w:val="00C213FB"/>
    <w:rsid w:val="00C218E6"/>
    <w:rsid w:val="00C245C4"/>
    <w:rsid w:val="00C259B0"/>
    <w:rsid w:val="00C274C8"/>
    <w:rsid w:val="00C35051"/>
    <w:rsid w:val="00C40998"/>
    <w:rsid w:val="00C41716"/>
    <w:rsid w:val="00C501E6"/>
    <w:rsid w:val="00C53177"/>
    <w:rsid w:val="00C53338"/>
    <w:rsid w:val="00C5385C"/>
    <w:rsid w:val="00C540FD"/>
    <w:rsid w:val="00C54A48"/>
    <w:rsid w:val="00C54B8A"/>
    <w:rsid w:val="00C60831"/>
    <w:rsid w:val="00C633CF"/>
    <w:rsid w:val="00C63650"/>
    <w:rsid w:val="00C669CB"/>
    <w:rsid w:val="00C701D3"/>
    <w:rsid w:val="00C80400"/>
    <w:rsid w:val="00C81A5A"/>
    <w:rsid w:val="00C81B37"/>
    <w:rsid w:val="00C90072"/>
    <w:rsid w:val="00C902A4"/>
    <w:rsid w:val="00C91A1E"/>
    <w:rsid w:val="00C9362E"/>
    <w:rsid w:val="00C94108"/>
    <w:rsid w:val="00C977FE"/>
    <w:rsid w:val="00C9787C"/>
    <w:rsid w:val="00CA230E"/>
    <w:rsid w:val="00CA3760"/>
    <w:rsid w:val="00CA46FC"/>
    <w:rsid w:val="00CA4BE8"/>
    <w:rsid w:val="00CA7086"/>
    <w:rsid w:val="00CB289A"/>
    <w:rsid w:val="00CB3945"/>
    <w:rsid w:val="00CB43DC"/>
    <w:rsid w:val="00CB6C52"/>
    <w:rsid w:val="00CC44F2"/>
    <w:rsid w:val="00CC487E"/>
    <w:rsid w:val="00CD50FE"/>
    <w:rsid w:val="00CF30AB"/>
    <w:rsid w:val="00CF4E16"/>
    <w:rsid w:val="00CF54A9"/>
    <w:rsid w:val="00CF7090"/>
    <w:rsid w:val="00CF751F"/>
    <w:rsid w:val="00D005B0"/>
    <w:rsid w:val="00D04D39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5A04"/>
    <w:rsid w:val="00D26808"/>
    <w:rsid w:val="00D303AB"/>
    <w:rsid w:val="00D30A9D"/>
    <w:rsid w:val="00D30EEB"/>
    <w:rsid w:val="00D3230C"/>
    <w:rsid w:val="00D33226"/>
    <w:rsid w:val="00D56D30"/>
    <w:rsid w:val="00D63949"/>
    <w:rsid w:val="00D649D5"/>
    <w:rsid w:val="00D73373"/>
    <w:rsid w:val="00D73AB5"/>
    <w:rsid w:val="00D76E6E"/>
    <w:rsid w:val="00D77D6E"/>
    <w:rsid w:val="00D835B5"/>
    <w:rsid w:val="00D83ABF"/>
    <w:rsid w:val="00D85654"/>
    <w:rsid w:val="00D85D02"/>
    <w:rsid w:val="00D94A3F"/>
    <w:rsid w:val="00DA0CF4"/>
    <w:rsid w:val="00DA28BD"/>
    <w:rsid w:val="00DA5366"/>
    <w:rsid w:val="00DA670E"/>
    <w:rsid w:val="00DB6141"/>
    <w:rsid w:val="00DB6F13"/>
    <w:rsid w:val="00DB7BDD"/>
    <w:rsid w:val="00DC08C1"/>
    <w:rsid w:val="00DC12A8"/>
    <w:rsid w:val="00DC4B9C"/>
    <w:rsid w:val="00DC6C11"/>
    <w:rsid w:val="00DC7D24"/>
    <w:rsid w:val="00DD2F7D"/>
    <w:rsid w:val="00DD391F"/>
    <w:rsid w:val="00DD50AC"/>
    <w:rsid w:val="00DD5F58"/>
    <w:rsid w:val="00DE7F95"/>
    <w:rsid w:val="00DF0D3D"/>
    <w:rsid w:val="00DF15CA"/>
    <w:rsid w:val="00DF5CC1"/>
    <w:rsid w:val="00DF7538"/>
    <w:rsid w:val="00E00B0B"/>
    <w:rsid w:val="00E0646D"/>
    <w:rsid w:val="00E1643A"/>
    <w:rsid w:val="00E1793D"/>
    <w:rsid w:val="00E2711A"/>
    <w:rsid w:val="00E32F84"/>
    <w:rsid w:val="00E415BC"/>
    <w:rsid w:val="00E47599"/>
    <w:rsid w:val="00E540A7"/>
    <w:rsid w:val="00E5460A"/>
    <w:rsid w:val="00E56EF5"/>
    <w:rsid w:val="00E576D5"/>
    <w:rsid w:val="00E653A0"/>
    <w:rsid w:val="00E801EF"/>
    <w:rsid w:val="00E85DBA"/>
    <w:rsid w:val="00E86A0A"/>
    <w:rsid w:val="00E86C8D"/>
    <w:rsid w:val="00E91821"/>
    <w:rsid w:val="00EA3160"/>
    <w:rsid w:val="00EA76E2"/>
    <w:rsid w:val="00EB2DC4"/>
    <w:rsid w:val="00EB3FE0"/>
    <w:rsid w:val="00EB5767"/>
    <w:rsid w:val="00EB67F8"/>
    <w:rsid w:val="00EC237E"/>
    <w:rsid w:val="00EC3424"/>
    <w:rsid w:val="00EC4D94"/>
    <w:rsid w:val="00ED0620"/>
    <w:rsid w:val="00ED243A"/>
    <w:rsid w:val="00ED290A"/>
    <w:rsid w:val="00ED2C29"/>
    <w:rsid w:val="00ED2EDE"/>
    <w:rsid w:val="00ED4BB8"/>
    <w:rsid w:val="00ED665C"/>
    <w:rsid w:val="00EE00DC"/>
    <w:rsid w:val="00EE4F18"/>
    <w:rsid w:val="00EE7411"/>
    <w:rsid w:val="00EF363D"/>
    <w:rsid w:val="00EF4C14"/>
    <w:rsid w:val="00EF4FA1"/>
    <w:rsid w:val="00EF7C53"/>
    <w:rsid w:val="00F0123F"/>
    <w:rsid w:val="00F16CB9"/>
    <w:rsid w:val="00F2021B"/>
    <w:rsid w:val="00F22F8E"/>
    <w:rsid w:val="00F23623"/>
    <w:rsid w:val="00F26ACB"/>
    <w:rsid w:val="00F3118E"/>
    <w:rsid w:val="00F33E25"/>
    <w:rsid w:val="00F41626"/>
    <w:rsid w:val="00F44D22"/>
    <w:rsid w:val="00F47437"/>
    <w:rsid w:val="00F53BF0"/>
    <w:rsid w:val="00F61CA2"/>
    <w:rsid w:val="00F64E56"/>
    <w:rsid w:val="00F67DA4"/>
    <w:rsid w:val="00F70D02"/>
    <w:rsid w:val="00F72492"/>
    <w:rsid w:val="00F743F0"/>
    <w:rsid w:val="00F767D1"/>
    <w:rsid w:val="00F84696"/>
    <w:rsid w:val="00F85384"/>
    <w:rsid w:val="00F855F2"/>
    <w:rsid w:val="00F90044"/>
    <w:rsid w:val="00FA08DD"/>
    <w:rsid w:val="00FA1EE2"/>
    <w:rsid w:val="00FA45EE"/>
    <w:rsid w:val="00FB3073"/>
    <w:rsid w:val="00FC0541"/>
    <w:rsid w:val="00FD0268"/>
    <w:rsid w:val="00FD0284"/>
    <w:rsid w:val="00FD22A4"/>
    <w:rsid w:val="00FD2B62"/>
    <w:rsid w:val="00FD5347"/>
    <w:rsid w:val="00FD780A"/>
    <w:rsid w:val="00FE08C1"/>
    <w:rsid w:val="00FE0E00"/>
    <w:rsid w:val="00FE3578"/>
    <w:rsid w:val="00FE3A04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1169-B043-7441-B61C-B9FE7408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2023-11-08T15:39:00Z</dcterms:created>
  <dcterms:modified xsi:type="dcterms:W3CDTF">2023-11-08T15:39:00Z</dcterms:modified>
</cp:coreProperties>
</file>