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Pr="00FB72E9" w:rsidRDefault="000378A5" w:rsidP="002461F7">
      <w:pPr>
        <w:rPr>
          <w:sz w:val="4"/>
          <w:szCs w:val="4"/>
          <w:lang w:val="fr-CA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4823DD" w:rsidRPr="004823DD" w14:paraId="5ADCE10C" w14:textId="77777777" w:rsidTr="00DF5F34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1031F3B7" w:rsidR="000378A5" w:rsidRPr="004823DD" w:rsidRDefault="00FB72E9" w:rsidP="00DF5F34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4823DD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Reconna</w:t>
            </w:r>
            <w:r w:rsidR="009A3B05" w:rsidRPr="004823DD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ître</w:t>
            </w:r>
            <w:r w:rsidR="00E52D79" w:rsidRPr="004823DD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 des figures à 2D congruentes</w:t>
            </w:r>
          </w:p>
        </w:tc>
      </w:tr>
      <w:tr w:rsidR="004823DD" w:rsidRPr="004823DD" w14:paraId="5845B6FC" w14:textId="77777777" w:rsidTr="00774BAA">
        <w:trPr>
          <w:trHeight w:hRule="exact" w:val="364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E43304" w14:textId="42922A2D" w:rsidR="00C10730" w:rsidRPr="004823DD" w:rsidRDefault="00E52D79" w:rsidP="00DF5F34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823DD">
              <w:rPr>
                <w:rFonts w:ascii="Arial" w:hAnsi="Arial" w:cs="Arial"/>
                <w:sz w:val="19"/>
                <w:szCs w:val="19"/>
                <w:lang w:val="fr-CA"/>
              </w:rPr>
              <w:t>Déterminer des figures congruentes qui ont la même orientation</w:t>
            </w:r>
          </w:p>
          <w:p w14:paraId="43AFBD1E" w14:textId="47F7076F" w:rsidR="00CA2C72" w:rsidRPr="004823DD" w:rsidRDefault="00CA2C72" w:rsidP="00DF5F34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4823DD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6AE4F780" wp14:editId="64896BF5">
                  <wp:extent cx="1122993" cy="587203"/>
                  <wp:effectExtent l="0" t="0" r="1270" b="381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964" r="30213"/>
                          <a:stretch/>
                        </pic:blipFill>
                        <pic:spPr bwMode="auto">
                          <a:xfrm>
                            <a:off x="0" y="0"/>
                            <a:ext cx="1169680" cy="61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628AADA" w14:textId="77777777" w:rsidR="004823DD" w:rsidRDefault="002870D4" w:rsidP="00DF5F34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823DD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4823DD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1C5646" w:rsidRPr="004823DD">
              <w:rPr>
                <w:rFonts w:ascii="Arial" w:hAnsi="Arial" w:cs="Arial"/>
                <w:sz w:val="19"/>
                <w:szCs w:val="19"/>
                <w:lang w:val="fr-CA"/>
              </w:rPr>
              <w:t xml:space="preserve">Ces figures sont congruentes, car elles ont la même forme et la </w:t>
            </w:r>
            <w:r w:rsidR="001C5646" w:rsidRPr="004823DD">
              <w:rPr>
                <w:rFonts w:ascii="Arial" w:hAnsi="Arial" w:cs="Arial"/>
                <w:sz w:val="19"/>
                <w:szCs w:val="19"/>
                <w:lang w:val="fr-CA"/>
              </w:rPr>
              <w:t>même</w:t>
            </w:r>
            <w:r w:rsidRPr="004823DD">
              <w:rPr>
                <w:rFonts w:ascii="Arial" w:hAnsi="Arial" w:cs="Arial"/>
                <w:sz w:val="19"/>
                <w:szCs w:val="19"/>
                <w:lang w:val="fr-CA"/>
              </w:rPr>
              <w:t xml:space="preserve"> taille et sont orientées dans le</w:t>
            </w:r>
          </w:p>
          <w:p w14:paraId="4D8053C5" w14:textId="503FAEFB" w:rsidR="00C10730" w:rsidRPr="004823DD" w:rsidRDefault="002870D4" w:rsidP="00DF5F34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823DD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proofErr w:type="gramStart"/>
            <w:r w:rsidRPr="004823DD">
              <w:rPr>
                <w:rFonts w:ascii="Arial" w:hAnsi="Arial" w:cs="Arial"/>
                <w:sz w:val="19"/>
                <w:szCs w:val="19"/>
                <w:lang w:val="fr-CA"/>
              </w:rPr>
              <w:t>même</w:t>
            </w:r>
            <w:proofErr w:type="gramEnd"/>
            <w:r w:rsidRPr="004823DD">
              <w:rPr>
                <w:rFonts w:ascii="Arial" w:hAnsi="Arial" w:cs="Arial"/>
                <w:sz w:val="19"/>
                <w:szCs w:val="19"/>
                <w:lang w:val="fr-CA"/>
              </w:rPr>
              <w:t xml:space="preserve"> sens. </w:t>
            </w:r>
            <w:r w:rsidRPr="004823DD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3EC2543" w14:textId="57E3E036" w:rsidR="00EF066A" w:rsidRPr="004823DD" w:rsidRDefault="00EF066A" w:rsidP="00EF066A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823DD">
              <w:rPr>
                <w:rFonts w:ascii="Arial" w:hAnsi="Arial" w:cs="Arial"/>
                <w:sz w:val="19"/>
                <w:szCs w:val="19"/>
                <w:lang w:val="fr-CA"/>
              </w:rPr>
              <w:t>Reconnaître</w:t>
            </w:r>
            <w:r w:rsidRPr="004823DD">
              <w:rPr>
                <w:rFonts w:ascii="Arial" w:hAnsi="Arial" w:cs="Arial"/>
                <w:sz w:val="19"/>
                <w:szCs w:val="19"/>
                <w:lang w:val="fr-CA"/>
              </w:rPr>
              <w:t xml:space="preserve"> des figures congruentes qui ont </w:t>
            </w:r>
            <w:r w:rsidRPr="004823DD">
              <w:rPr>
                <w:rFonts w:ascii="Arial" w:hAnsi="Arial" w:cs="Arial"/>
                <w:sz w:val="19"/>
                <w:szCs w:val="19"/>
                <w:lang w:val="fr-CA"/>
              </w:rPr>
              <w:t>différentes orientations (en utilisant des</w:t>
            </w:r>
            <w:r w:rsidR="00DF1AD6" w:rsidRPr="004823DD">
              <w:rPr>
                <w:rFonts w:ascii="Arial" w:hAnsi="Arial" w:cs="Arial"/>
                <w:sz w:val="19"/>
                <w:szCs w:val="19"/>
                <w:lang w:val="fr-CA"/>
              </w:rPr>
              <w:t xml:space="preserve"> mouvements physiques)</w:t>
            </w:r>
          </w:p>
          <w:p w14:paraId="1187766E" w14:textId="42F27DA6" w:rsidR="00C10730" w:rsidRPr="004823DD" w:rsidRDefault="00034B10" w:rsidP="00DF5F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823DD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5569522B" wp14:editId="200F2166">
                  <wp:extent cx="1241448" cy="629627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64" r="30928" b="-782"/>
                          <a:stretch/>
                        </pic:blipFill>
                        <pic:spPr bwMode="auto">
                          <a:xfrm>
                            <a:off x="0" y="0"/>
                            <a:ext cx="1307754" cy="66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8CB78D0" w14:textId="5B04944D" w:rsidR="00C10730" w:rsidRPr="004823DD" w:rsidRDefault="002870D4" w:rsidP="00DF5F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823DD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4823DD">
              <w:rPr>
                <w:rFonts w:ascii="Arial" w:hAnsi="Arial" w:cs="Arial"/>
                <w:sz w:val="19"/>
                <w:szCs w:val="19"/>
                <w:lang w:val="fr-CA"/>
              </w:rPr>
              <w:t xml:space="preserve"> Ces figures sont congruentes, car </w:t>
            </w:r>
            <w:r w:rsidR="003656A3" w:rsidRPr="004823DD">
              <w:rPr>
                <w:rFonts w:ascii="Arial" w:hAnsi="Arial" w:cs="Arial"/>
                <w:sz w:val="19"/>
                <w:szCs w:val="19"/>
                <w:lang w:val="fr-CA"/>
              </w:rPr>
              <w:t>lorsque je tourne une figure, elle correspond exactement à l’autre figure</w:t>
            </w:r>
            <w:r w:rsidRPr="004823DD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Pr="004823DD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F0E782" w14:textId="22185454" w:rsidR="00DF1AD6" w:rsidRPr="004823DD" w:rsidRDefault="00DF1AD6" w:rsidP="00DF1AD6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823DD">
              <w:rPr>
                <w:rFonts w:ascii="Arial" w:hAnsi="Arial" w:cs="Arial"/>
                <w:sz w:val="19"/>
                <w:szCs w:val="19"/>
                <w:lang w:val="fr-CA"/>
              </w:rPr>
              <w:t xml:space="preserve">Reconnaître des figures congruentes qui ont différentes orientations (en </w:t>
            </w:r>
            <w:r w:rsidR="000100C9" w:rsidRPr="004823DD">
              <w:rPr>
                <w:rFonts w:ascii="Arial" w:hAnsi="Arial" w:cs="Arial"/>
                <w:sz w:val="19"/>
                <w:szCs w:val="19"/>
                <w:lang w:val="fr-CA"/>
              </w:rPr>
              <w:t>visualisant</w:t>
            </w:r>
            <w:r w:rsidRPr="004823DD">
              <w:rPr>
                <w:rFonts w:ascii="Arial" w:hAnsi="Arial" w:cs="Arial"/>
                <w:sz w:val="19"/>
                <w:szCs w:val="19"/>
                <w:lang w:val="fr-CA"/>
              </w:rPr>
              <w:t>)</w:t>
            </w:r>
          </w:p>
          <w:p w14:paraId="1719EC6C" w14:textId="78A60E73" w:rsidR="00DF5F34" w:rsidRPr="004823DD" w:rsidRDefault="00DF5F34" w:rsidP="00DF5F34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4823DD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1C3DD5F6" wp14:editId="7B51275A">
                  <wp:extent cx="1353185" cy="66744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772" t="1" r="28163" b="1"/>
                          <a:stretch/>
                        </pic:blipFill>
                        <pic:spPr bwMode="auto">
                          <a:xfrm>
                            <a:off x="0" y="0"/>
                            <a:ext cx="1393783" cy="68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5E2BCE5" w14:textId="70D46742" w:rsidR="00C10730" w:rsidRPr="004823DD" w:rsidRDefault="003656A3" w:rsidP="00DF5F34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823DD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4823DD">
              <w:rPr>
                <w:rFonts w:ascii="Arial" w:hAnsi="Arial" w:cs="Arial"/>
                <w:sz w:val="19"/>
                <w:szCs w:val="19"/>
                <w:lang w:val="fr-CA"/>
              </w:rPr>
              <w:t xml:space="preserve"> Ces figures sont congruentes</w:t>
            </w:r>
            <w:r w:rsidRPr="004823DD">
              <w:rPr>
                <w:rFonts w:ascii="Arial" w:hAnsi="Arial" w:cs="Arial"/>
                <w:sz w:val="19"/>
                <w:szCs w:val="19"/>
                <w:lang w:val="fr-CA"/>
              </w:rPr>
              <w:t xml:space="preserve"> parce que je peux visualiser tourner une figure d’un demi-tour pour qu’elle corresponde à l’autre</w:t>
            </w:r>
            <w:r w:rsidRPr="004823DD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Pr="004823DD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37AD198" w14:textId="6C349CF0" w:rsidR="000100C9" w:rsidRPr="004823DD" w:rsidRDefault="000100C9" w:rsidP="000100C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823DD">
              <w:rPr>
                <w:rFonts w:ascii="Arial" w:hAnsi="Arial" w:cs="Arial"/>
                <w:sz w:val="19"/>
                <w:szCs w:val="19"/>
                <w:lang w:val="fr-CA"/>
              </w:rPr>
              <w:t xml:space="preserve">Reconnaître des figures congruentes qui ont différentes orientations (en utilisant des </w:t>
            </w:r>
            <w:r w:rsidRPr="004823DD">
              <w:rPr>
                <w:rFonts w:ascii="Arial" w:hAnsi="Arial" w:cs="Arial"/>
                <w:sz w:val="19"/>
                <w:szCs w:val="19"/>
                <w:lang w:val="fr-CA"/>
              </w:rPr>
              <w:t>côtés et des angles congruents</w:t>
            </w:r>
            <w:r w:rsidRPr="004823DD">
              <w:rPr>
                <w:rFonts w:ascii="Arial" w:hAnsi="Arial" w:cs="Arial"/>
                <w:sz w:val="19"/>
                <w:szCs w:val="19"/>
                <w:lang w:val="fr-CA"/>
              </w:rPr>
              <w:t>)</w:t>
            </w:r>
          </w:p>
          <w:p w14:paraId="53B92E53" w14:textId="7F525008" w:rsidR="005149D8" w:rsidRPr="004823DD" w:rsidRDefault="00DF5F34" w:rsidP="00DF5F34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4823DD">
              <w:rPr>
                <w:rFonts w:ascii="Arial" w:hAnsi="Arial" w:cs="Arial"/>
                <w:noProof/>
                <w:sz w:val="19"/>
                <w:szCs w:val="19"/>
                <w:lang w:val="en-CA"/>
              </w:rPr>
              <w:drawing>
                <wp:inline distT="0" distB="0" distL="0" distR="0" wp14:anchorId="13D5449C" wp14:editId="36BCE047">
                  <wp:extent cx="1245232" cy="66738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93" r="28142" b="-14"/>
                          <a:stretch/>
                        </pic:blipFill>
                        <pic:spPr bwMode="auto">
                          <a:xfrm>
                            <a:off x="0" y="0"/>
                            <a:ext cx="1259078" cy="674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97E2B08" w14:textId="074FD143" w:rsidR="00C10730" w:rsidRPr="004823DD" w:rsidRDefault="003656A3" w:rsidP="00774BAA">
            <w:pPr>
              <w:pStyle w:val="TableParagraph"/>
              <w:spacing w:line="250" w:lineRule="auto"/>
              <w:ind w:right="7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823DD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4823DD">
              <w:rPr>
                <w:rFonts w:ascii="Arial" w:hAnsi="Arial" w:cs="Arial"/>
                <w:sz w:val="19"/>
                <w:szCs w:val="19"/>
                <w:lang w:val="fr-CA"/>
              </w:rPr>
              <w:t xml:space="preserve"> Ces figures sont congruentes</w:t>
            </w:r>
            <w:r w:rsidRPr="004823DD">
              <w:rPr>
                <w:rFonts w:ascii="Arial" w:hAnsi="Arial" w:cs="Arial"/>
                <w:sz w:val="19"/>
                <w:szCs w:val="19"/>
                <w:lang w:val="fr-CA"/>
              </w:rPr>
              <w:t xml:space="preserve"> parce qu’elles ont des côté</w:t>
            </w:r>
            <w:r w:rsidR="0047300E" w:rsidRPr="004823DD">
              <w:rPr>
                <w:rFonts w:ascii="Arial" w:hAnsi="Arial" w:cs="Arial"/>
                <w:sz w:val="19"/>
                <w:szCs w:val="19"/>
                <w:lang w:val="fr-CA"/>
              </w:rPr>
              <w:t xml:space="preserve">s et des angles correspondants. Si j’inversais la figure de gauche sur la figure de droite, la longueur des </w:t>
            </w:r>
            <w:r w:rsidR="0047300E" w:rsidRPr="004823DD">
              <w:rPr>
                <w:rFonts w:ascii="Arial" w:hAnsi="Arial" w:cs="Arial"/>
                <w:sz w:val="19"/>
                <w:szCs w:val="19"/>
                <w:lang w:val="fr-CA"/>
              </w:rPr>
              <w:t>côtés</w:t>
            </w:r>
            <w:r w:rsidR="00774BAA" w:rsidRPr="004823DD">
              <w:rPr>
                <w:rFonts w:ascii="Arial" w:hAnsi="Arial" w:cs="Arial"/>
                <w:sz w:val="19"/>
                <w:szCs w:val="19"/>
                <w:lang w:val="fr-CA"/>
              </w:rPr>
              <w:t xml:space="preserve"> et la taille des angles seraient congruentes</w:t>
            </w:r>
            <w:r w:rsidRPr="004823DD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Pr="004823DD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</w:tc>
      </w:tr>
      <w:tr w:rsidR="004823DD" w:rsidRPr="004823DD" w14:paraId="23F8CA64" w14:textId="77777777" w:rsidTr="00DF5F34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ADF0B9" w14:textId="0FEFB062" w:rsidR="00A3239B" w:rsidRPr="004823DD" w:rsidRDefault="004D5F6E" w:rsidP="00DF5F34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4823DD">
              <w:rPr>
                <w:rFonts w:ascii="Arial" w:eastAsia="Verdana" w:hAnsi="Arial" w:cs="Arial"/>
                <w:b/>
              </w:rPr>
              <w:t>Observations</w:t>
            </w:r>
            <w:r w:rsidR="001C5646" w:rsidRPr="004823DD">
              <w:rPr>
                <w:rFonts w:ascii="Arial" w:eastAsia="Verdana" w:hAnsi="Arial" w:cs="Arial"/>
                <w:b/>
              </w:rPr>
              <w:t xml:space="preserve"> et d</w:t>
            </w:r>
            <w:r w:rsidRPr="004823DD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4823DD" w:rsidRPr="004823DD" w14:paraId="72CEA274" w14:textId="77777777" w:rsidTr="00DF5F34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3B5996C7" w:rsidR="000378A5" w:rsidRPr="004823DD" w:rsidRDefault="009A3B05" w:rsidP="00DF5F34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4823DD">
              <w:rPr>
                <w:rFonts w:ascii="Calibri" w:hAnsi="Calibri" w:cs="Calibri"/>
                <w:sz w:val="19"/>
                <w:szCs w:val="19"/>
              </w:rPr>
              <w:t>îî</w:t>
            </w:r>
            <w:proofErr w:type="spellEnd"/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0A6DCCA4" w:rsidR="000378A5" w:rsidRPr="004823DD" w:rsidRDefault="000378A5" w:rsidP="00DF5F34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621CED2E" w:rsidR="000378A5" w:rsidRPr="004823DD" w:rsidRDefault="000378A5" w:rsidP="00DF5F34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A1B1C7B" w:rsidR="000378A5" w:rsidRPr="004823DD" w:rsidRDefault="000378A5" w:rsidP="00DF5F34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2485C9A6" w14:textId="1C33131A" w:rsidR="00D47062" w:rsidRPr="00AA5CD1" w:rsidRDefault="00D47062" w:rsidP="002461F7">
      <w:pPr>
        <w:rPr>
          <w:sz w:val="4"/>
          <w:szCs w:val="4"/>
        </w:rPr>
      </w:pPr>
    </w:p>
    <w:sectPr w:rsidR="00D47062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850E2" w14:textId="77777777" w:rsidR="00923D24" w:rsidRDefault="00923D24" w:rsidP="00CA2529">
      <w:pPr>
        <w:spacing w:after="0" w:line="240" w:lineRule="auto"/>
      </w:pPr>
      <w:r>
        <w:separator/>
      </w:r>
    </w:p>
  </w:endnote>
  <w:endnote w:type="continuationSeparator" w:id="0">
    <w:p w14:paraId="1D20E67F" w14:textId="77777777" w:rsidR="00923D24" w:rsidRDefault="00923D2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4D0AB140" w:rsidR="0028676E" w:rsidRPr="004823DD" w:rsidRDefault="004823DD" w:rsidP="004823DD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BF5119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F5119">
      <w:rPr>
        <w:rFonts w:ascii="Arial" w:hAnsi="Arial" w:cs="Arial"/>
        <w:b/>
        <w:sz w:val="15"/>
        <w:szCs w:val="15"/>
        <w:lang w:val="fr-CA"/>
      </w:rPr>
      <w:t xml:space="preserve">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7F8B34F" wp14:editId="2B03CB2C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753273">
      <w:rPr>
        <w:rFonts w:ascii="Arial" w:hAnsi="Arial" w:cs="Arial"/>
        <w:sz w:val="15"/>
        <w:szCs w:val="15"/>
        <w:lang w:val="fr-CA"/>
      </w:rPr>
      <w:t>Copyright © 2022 Pearson Canada Inc.</w:t>
    </w:r>
    <w:r w:rsidRPr="00753273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4A221" w14:textId="77777777" w:rsidR="00923D24" w:rsidRDefault="00923D24" w:rsidP="00CA2529">
      <w:pPr>
        <w:spacing w:after="0" w:line="240" w:lineRule="auto"/>
      </w:pPr>
      <w:r>
        <w:separator/>
      </w:r>
    </w:p>
  </w:footnote>
  <w:footnote w:type="continuationSeparator" w:id="0">
    <w:p w14:paraId="409236D2" w14:textId="77777777" w:rsidR="00923D24" w:rsidRDefault="00923D2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365723C1" w:rsidR="00E613E3" w:rsidRPr="00FB72E9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D0E124F">
              <wp:simplePos x="0" y="0"/>
              <wp:positionH relativeFrom="column">
                <wp:posOffset>2589</wp:posOffset>
              </wp:positionH>
              <wp:positionV relativeFrom="paragraph">
                <wp:posOffset>126023</wp:posOffset>
              </wp:positionV>
              <wp:extent cx="1562100" cy="28838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8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E3354BA" w:rsidR="00E613E3" w:rsidRPr="00EE1EA5" w:rsidRDefault="00EE1EA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>La g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éométrie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2pt;margin-top:9.9pt;width:12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" filled="f" stroked="f">
              <v:textbox>
                <w:txbxContent>
                  <w:p w14:paraId="2521030B" w14:textId="7E3354BA" w:rsidR="00E613E3" w:rsidRPr="00EE1EA5" w:rsidRDefault="00EE1EA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>La 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éométrie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3D57DD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98D463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FB72E9">
      <w:rPr>
        <w:lang w:val="fr-CA"/>
      </w:rPr>
      <w:tab/>
    </w:r>
    <w:r w:rsidR="00CA2529" w:rsidRPr="00FB72E9">
      <w:rPr>
        <w:lang w:val="fr-CA"/>
      </w:rPr>
      <w:tab/>
    </w:r>
    <w:r w:rsidR="00CA2529" w:rsidRPr="00FB72E9">
      <w:rPr>
        <w:lang w:val="fr-CA"/>
      </w:rPr>
      <w:tab/>
    </w:r>
    <w:r w:rsidR="00207CC0" w:rsidRPr="00FB72E9">
      <w:rPr>
        <w:lang w:val="fr-CA"/>
      </w:rPr>
      <w:tab/>
    </w:r>
    <w:r w:rsidR="00FD2B2E" w:rsidRPr="00FB72E9">
      <w:rPr>
        <w:lang w:val="fr-CA"/>
      </w:rPr>
      <w:tab/>
    </w:r>
    <w:r w:rsidR="00EE1EA5" w:rsidRPr="00FB72E9">
      <w:rPr>
        <w:rFonts w:ascii="Arial" w:hAnsi="Arial" w:cs="Arial"/>
        <w:b/>
        <w:sz w:val="36"/>
        <w:szCs w:val="36"/>
        <w:lang w:val="fr-CA"/>
      </w:rPr>
      <w:t>Évaluation de l’activité 2</w:t>
    </w:r>
  </w:p>
  <w:p w14:paraId="48FDC6FE" w14:textId="2389D99B" w:rsidR="001B5E12" w:rsidRPr="00FB72E9" w:rsidRDefault="00721F29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 w:rsidRPr="00FB72E9">
      <w:rPr>
        <w:rFonts w:ascii="Arial" w:hAnsi="Arial" w:cs="Arial"/>
        <w:b/>
        <w:sz w:val="28"/>
        <w:szCs w:val="28"/>
        <w:lang w:val="fr-CA"/>
      </w:rPr>
      <w:t>Examiner la congruence</w:t>
    </w:r>
    <w:r w:rsidR="005E6D1B" w:rsidRPr="00FB72E9">
      <w:rPr>
        <w:rFonts w:ascii="Arial" w:hAnsi="Arial" w:cs="Arial"/>
        <w:b/>
        <w:sz w:val="28"/>
        <w:szCs w:val="28"/>
        <w:lang w:val="fr-C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00C9"/>
    <w:rsid w:val="000321AE"/>
    <w:rsid w:val="00034B10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788F"/>
    <w:rsid w:val="000F43C1"/>
    <w:rsid w:val="00111837"/>
    <w:rsid w:val="00112FF1"/>
    <w:rsid w:val="001168AC"/>
    <w:rsid w:val="00120E06"/>
    <w:rsid w:val="00122C88"/>
    <w:rsid w:val="0012518E"/>
    <w:rsid w:val="0014110A"/>
    <w:rsid w:val="00143214"/>
    <w:rsid w:val="0015316C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309A"/>
    <w:rsid w:val="001C5646"/>
    <w:rsid w:val="001D131B"/>
    <w:rsid w:val="001D6FE4"/>
    <w:rsid w:val="002008E7"/>
    <w:rsid w:val="00206E7A"/>
    <w:rsid w:val="00207CC0"/>
    <w:rsid w:val="0021179B"/>
    <w:rsid w:val="00215C2F"/>
    <w:rsid w:val="002461F7"/>
    <w:rsid w:val="00254851"/>
    <w:rsid w:val="00270D20"/>
    <w:rsid w:val="0028196A"/>
    <w:rsid w:val="0028676E"/>
    <w:rsid w:val="002870D4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130F1"/>
    <w:rsid w:val="00316B88"/>
    <w:rsid w:val="00322D47"/>
    <w:rsid w:val="003266A1"/>
    <w:rsid w:val="0033287C"/>
    <w:rsid w:val="00333295"/>
    <w:rsid w:val="00333A8F"/>
    <w:rsid w:val="0034252B"/>
    <w:rsid w:val="00345039"/>
    <w:rsid w:val="0035453A"/>
    <w:rsid w:val="00364E65"/>
    <w:rsid w:val="003656A3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40008E"/>
    <w:rsid w:val="00416BC6"/>
    <w:rsid w:val="00424F12"/>
    <w:rsid w:val="0043108D"/>
    <w:rsid w:val="004606B9"/>
    <w:rsid w:val="00465C12"/>
    <w:rsid w:val="0047300E"/>
    <w:rsid w:val="0047628B"/>
    <w:rsid w:val="004823DD"/>
    <w:rsid w:val="00483555"/>
    <w:rsid w:val="00490204"/>
    <w:rsid w:val="004902FE"/>
    <w:rsid w:val="00492279"/>
    <w:rsid w:val="004959B6"/>
    <w:rsid w:val="004B1951"/>
    <w:rsid w:val="004B5458"/>
    <w:rsid w:val="004C381D"/>
    <w:rsid w:val="004D074D"/>
    <w:rsid w:val="004D5D0E"/>
    <w:rsid w:val="004D5F6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81577"/>
    <w:rsid w:val="00582804"/>
    <w:rsid w:val="005A3CE4"/>
    <w:rsid w:val="005B39DE"/>
    <w:rsid w:val="005B3A77"/>
    <w:rsid w:val="005B7D0F"/>
    <w:rsid w:val="005C330B"/>
    <w:rsid w:val="005D3D5E"/>
    <w:rsid w:val="005E6D1B"/>
    <w:rsid w:val="0060757B"/>
    <w:rsid w:val="00614A33"/>
    <w:rsid w:val="00615D45"/>
    <w:rsid w:val="006212B0"/>
    <w:rsid w:val="00630F31"/>
    <w:rsid w:val="006442BA"/>
    <w:rsid w:val="00652680"/>
    <w:rsid w:val="0065510C"/>
    <w:rsid w:val="00661689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6779"/>
    <w:rsid w:val="00721F29"/>
    <w:rsid w:val="0072422E"/>
    <w:rsid w:val="00733E9A"/>
    <w:rsid w:val="00741178"/>
    <w:rsid w:val="0076731B"/>
    <w:rsid w:val="00774BAA"/>
    <w:rsid w:val="0078278F"/>
    <w:rsid w:val="0078496A"/>
    <w:rsid w:val="00790DB4"/>
    <w:rsid w:val="00793ACA"/>
    <w:rsid w:val="007A6B78"/>
    <w:rsid w:val="007A6FD8"/>
    <w:rsid w:val="007C0F92"/>
    <w:rsid w:val="007C4F24"/>
    <w:rsid w:val="007D11C5"/>
    <w:rsid w:val="007F0C53"/>
    <w:rsid w:val="007F26EA"/>
    <w:rsid w:val="007F6D71"/>
    <w:rsid w:val="00805A4E"/>
    <w:rsid w:val="008261CA"/>
    <w:rsid w:val="008326A2"/>
    <w:rsid w:val="00832B16"/>
    <w:rsid w:val="00853E99"/>
    <w:rsid w:val="00875B8F"/>
    <w:rsid w:val="00883F8C"/>
    <w:rsid w:val="00892A64"/>
    <w:rsid w:val="00897F5A"/>
    <w:rsid w:val="008A0E5D"/>
    <w:rsid w:val="008B4F5E"/>
    <w:rsid w:val="008C7653"/>
    <w:rsid w:val="008D1751"/>
    <w:rsid w:val="008D688E"/>
    <w:rsid w:val="008E46FD"/>
    <w:rsid w:val="009002F7"/>
    <w:rsid w:val="0090418E"/>
    <w:rsid w:val="0092323E"/>
    <w:rsid w:val="00923D24"/>
    <w:rsid w:val="00924CD8"/>
    <w:rsid w:val="00931134"/>
    <w:rsid w:val="00945061"/>
    <w:rsid w:val="009471D3"/>
    <w:rsid w:val="0096389B"/>
    <w:rsid w:val="009703C3"/>
    <w:rsid w:val="00975ED4"/>
    <w:rsid w:val="00994C77"/>
    <w:rsid w:val="009A3B05"/>
    <w:rsid w:val="009B6FF8"/>
    <w:rsid w:val="009C574D"/>
    <w:rsid w:val="00A02279"/>
    <w:rsid w:val="00A03BD7"/>
    <w:rsid w:val="00A2716E"/>
    <w:rsid w:val="00A3239B"/>
    <w:rsid w:val="00A43E96"/>
    <w:rsid w:val="00A510EC"/>
    <w:rsid w:val="00A66EDD"/>
    <w:rsid w:val="00A73B2F"/>
    <w:rsid w:val="00AA5CD1"/>
    <w:rsid w:val="00AB527F"/>
    <w:rsid w:val="00AC6799"/>
    <w:rsid w:val="00AC7428"/>
    <w:rsid w:val="00AE494A"/>
    <w:rsid w:val="00AF44FF"/>
    <w:rsid w:val="00B1485A"/>
    <w:rsid w:val="00B52FB5"/>
    <w:rsid w:val="00B546EB"/>
    <w:rsid w:val="00B64C00"/>
    <w:rsid w:val="00B852AD"/>
    <w:rsid w:val="00B9593A"/>
    <w:rsid w:val="00BA072D"/>
    <w:rsid w:val="00BA10A4"/>
    <w:rsid w:val="00BB2207"/>
    <w:rsid w:val="00BD16F1"/>
    <w:rsid w:val="00BD5ACB"/>
    <w:rsid w:val="00BE7BA6"/>
    <w:rsid w:val="00BF093C"/>
    <w:rsid w:val="00C031B1"/>
    <w:rsid w:val="00C10730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2C72"/>
    <w:rsid w:val="00CA39C2"/>
    <w:rsid w:val="00CB2021"/>
    <w:rsid w:val="00CC20AD"/>
    <w:rsid w:val="00CD2187"/>
    <w:rsid w:val="00CD25F5"/>
    <w:rsid w:val="00CF26E9"/>
    <w:rsid w:val="00CF3ED1"/>
    <w:rsid w:val="00D10C2A"/>
    <w:rsid w:val="00D23494"/>
    <w:rsid w:val="00D26B06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51CB"/>
    <w:rsid w:val="00DA1368"/>
    <w:rsid w:val="00DA13ED"/>
    <w:rsid w:val="00DB4EC8"/>
    <w:rsid w:val="00DD6F23"/>
    <w:rsid w:val="00DE285D"/>
    <w:rsid w:val="00DF1AD6"/>
    <w:rsid w:val="00DF40F3"/>
    <w:rsid w:val="00DF4B21"/>
    <w:rsid w:val="00DF5F34"/>
    <w:rsid w:val="00DF7F77"/>
    <w:rsid w:val="00E16179"/>
    <w:rsid w:val="00E21EE5"/>
    <w:rsid w:val="00E22A49"/>
    <w:rsid w:val="00E3662C"/>
    <w:rsid w:val="00E45E3B"/>
    <w:rsid w:val="00E52D79"/>
    <w:rsid w:val="00E56741"/>
    <w:rsid w:val="00E613E3"/>
    <w:rsid w:val="00E71CBF"/>
    <w:rsid w:val="00E85483"/>
    <w:rsid w:val="00E90FD0"/>
    <w:rsid w:val="00EC413C"/>
    <w:rsid w:val="00EE1EA5"/>
    <w:rsid w:val="00EE29C2"/>
    <w:rsid w:val="00EE4F03"/>
    <w:rsid w:val="00EE79E6"/>
    <w:rsid w:val="00EF066A"/>
    <w:rsid w:val="00F00044"/>
    <w:rsid w:val="00F01EB8"/>
    <w:rsid w:val="00F05C19"/>
    <w:rsid w:val="00F06B81"/>
    <w:rsid w:val="00F10556"/>
    <w:rsid w:val="00F123BA"/>
    <w:rsid w:val="00F1645A"/>
    <w:rsid w:val="00F327B0"/>
    <w:rsid w:val="00F358C6"/>
    <w:rsid w:val="00F43E70"/>
    <w:rsid w:val="00F54626"/>
    <w:rsid w:val="00F652A1"/>
    <w:rsid w:val="00F86C1E"/>
    <w:rsid w:val="00FA377A"/>
    <w:rsid w:val="00FA6033"/>
    <w:rsid w:val="00FB72E9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9D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07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07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5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8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3DB34C-4BCE-4136-A930-A6A59E4D7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C6F2B9-96F3-45FC-91C6-3F9F3961A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68E4CE-DB34-4A46-9D49-CB24D2C687A1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16</cp:revision>
  <cp:lastPrinted>2016-08-23T12:28:00Z</cp:lastPrinted>
  <dcterms:created xsi:type="dcterms:W3CDTF">2022-01-05T16:06:00Z</dcterms:created>
  <dcterms:modified xsi:type="dcterms:W3CDTF">2022-01-12T14:17:00Z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