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862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880"/>
      </w:tblGrid>
      <w:tr w:rsidR="002F142C" w14:paraId="2E39B3F8" w14:textId="716AFF69" w:rsidTr="00D56FF8">
        <w:trPr>
          <w:trHeight w:hRule="exact" w:val="462"/>
        </w:trPr>
        <w:tc>
          <w:tcPr>
            <w:tcW w:w="1386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7C2B609" w:rsidR="002F142C" w:rsidRPr="006B210D" w:rsidRDefault="00525DFB" w:rsidP="00D56FF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Comportements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stratégies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décomposer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nombres</w:t>
            </w:r>
            <w:proofErr w:type="spellEnd"/>
          </w:p>
        </w:tc>
      </w:tr>
      <w:tr w:rsidR="002F142C" w14:paraId="76008433" w14:textId="055E6395" w:rsidTr="00D56FF8">
        <w:trPr>
          <w:trHeight w:hRule="exact" w:val="288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3CD12F" w14:textId="7452816F" w:rsidR="002F142C" w:rsidRPr="000D7465" w:rsidRDefault="0052500E" w:rsidP="00D56FF8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L’élève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décompose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le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nombre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en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dizaines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et en </w:t>
            </w:r>
            <w:proofErr w:type="spellStart"/>
            <w:r w:rsidR="00E90EE5" w:rsidRPr="000D7465">
              <w:rPr>
                <w:rFonts w:ascii="Arial" w:hAnsi="Arial" w:cs="Arial"/>
                <w:color w:val="626365"/>
                <w:sz w:val="19"/>
                <w:szCs w:val="19"/>
              </w:rPr>
              <w:t>unités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de surplus,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mais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met plus de 10 cubes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dans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la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colonne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des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unités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ou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confond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le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nombre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de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dizaines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et le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nombre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de cubes.</w:t>
            </w:r>
          </w:p>
          <w:p w14:paraId="57DB202C" w14:textId="11B6B238" w:rsidR="00BD1226" w:rsidRPr="0028676E" w:rsidRDefault="000D7465" w:rsidP="00D56FF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8DFC9C3" wp14:editId="2C4C1941">
                  <wp:extent cx="1675566" cy="96202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g01_n03_a19_ma2_tc-F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263" cy="965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8F2B6A" w14:textId="5B0D942D" w:rsidR="00481400" w:rsidRPr="00BD1226" w:rsidRDefault="0038604B" w:rsidP="00D56FF8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L’élève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décompose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le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nombre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en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dizaines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et en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unités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de surplus et utilise des cubes pour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déterminer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le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nombre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d’unités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de plus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requis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pour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obtenir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une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autre</w:t>
            </w:r>
            <w:proofErr w:type="spellEnd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0D7465">
              <w:rPr>
                <w:rFonts w:ascii="Arial" w:hAnsi="Arial" w:cs="Arial"/>
                <w:color w:val="626365"/>
                <w:sz w:val="19"/>
                <w:szCs w:val="19"/>
              </w:rPr>
              <w:t>dizaine</w:t>
            </w:r>
            <w:proofErr w:type="spellEnd"/>
            <w:r w:rsidR="00BD1226" w:rsidRPr="00BD122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F95AA5C" w14:textId="64E0C97A" w:rsidR="00BD1226" w:rsidRPr="00BD1226" w:rsidRDefault="000D7465" w:rsidP="00D56FF8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E9E362F" wp14:editId="369160AC">
                  <wp:extent cx="1659423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g02_n03_a19_ma2_tc-F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582" cy="958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0ACFE5D6" w:rsidR="00481400" w:rsidRPr="00BD1226" w:rsidRDefault="00364BE6" w:rsidP="00D56FF8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L’élève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décompose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le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nombre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en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dizaines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et en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unités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de surplus,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mais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ne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peut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pas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déterminer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10 de plus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ou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moins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sans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compter</w:t>
            </w:r>
            <w:proofErr w:type="spellEnd"/>
            <w:r w:rsidR="00BD1226" w:rsidRPr="00BD122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2BFCD8" w14:textId="3649E699" w:rsidR="00481400" w:rsidRPr="00F06AEF" w:rsidRDefault="00364BE6" w:rsidP="00D56FF8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L’élève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décompose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le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nombre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en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centaines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, en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dizaines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et en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unités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détermine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le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nombre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de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dizaines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de plus pour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obtenir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un</w:t>
            </w:r>
            <w:r w:rsidR="00916600" w:rsidRPr="00F06AEF">
              <w:rPr>
                <w:rFonts w:ascii="Arial" w:hAnsi="Arial" w:cs="Arial"/>
                <w:color w:val="626365"/>
                <w:sz w:val="19"/>
                <w:szCs w:val="19"/>
              </w:rPr>
              <w:t>e</w:t>
            </w:r>
            <w:proofErr w:type="spellEnd"/>
            <w:r w:rsidR="00916600"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="00916600" w:rsidRPr="00F06AEF">
              <w:rPr>
                <w:rFonts w:ascii="Arial" w:hAnsi="Arial" w:cs="Arial"/>
                <w:color w:val="626365"/>
                <w:sz w:val="19"/>
                <w:szCs w:val="19"/>
              </w:rPr>
              <w:t>centaine</w:t>
            </w:r>
            <w:proofErr w:type="spellEnd"/>
            <w:r w:rsidR="00916600"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et </w:t>
            </w:r>
            <w:proofErr w:type="spellStart"/>
            <w:r w:rsidR="00916600" w:rsidRPr="00F06AEF">
              <w:rPr>
                <w:rFonts w:ascii="Arial" w:hAnsi="Arial" w:cs="Arial"/>
                <w:color w:val="626365"/>
                <w:sz w:val="19"/>
                <w:szCs w:val="19"/>
              </w:rPr>
              <w:t>trouve</w:t>
            </w:r>
            <w:proofErr w:type="spellEnd"/>
            <w:r w:rsidR="00916600"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10 de plus/</w:t>
            </w:r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de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moins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 xml:space="preserve"> sans </w:t>
            </w:r>
            <w:proofErr w:type="spellStart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compter</w:t>
            </w:r>
            <w:proofErr w:type="spellEnd"/>
            <w:r w:rsidRPr="00F06AE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0742EDF" w14:textId="77777777" w:rsidR="00BD1226" w:rsidRDefault="006F4D8E" w:rsidP="00D56FF8">
            <w:pPr>
              <w:pStyle w:val="Pa6"/>
              <w:spacing w:before="60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23D3180" wp14:editId="5E177B34">
                  <wp:extent cx="1709928" cy="657489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abl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928" cy="65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1EFC49" w14:textId="50B18985" w:rsidR="0097025A" w:rsidRPr="006F4D8E" w:rsidRDefault="003957E5" w:rsidP="000D7465">
            <w:pPr>
              <w:pStyle w:val="Default"/>
              <w:jc w:val="center"/>
            </w:pPr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« 10 de plus </w:t>
            </w:r>
            <w:r w:rsidR="000D746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fait</w:t>
            </w:r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157. 10 de </w:t>
            </w:r>
            <w:proofErr w:type="spellStart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moins</w:t>
            </w:r>
            <w:proofErr w:type="spellEnd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="000D746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fait</w:t>
            </w:r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137. Il </w:t>
            </w:r>
            <w:proofErr w:type="spellStart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faut</w:t>
            </w:r>
            <w:proofErr w:type="spellEnd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6 </w:t>
            </w:r>
            <w:proofErr w:type="spellStart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dizaines</w:t>
            </w:r>
            <w:proofErr w:type="spellEnd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de plus pour </w:t>
            </w:r>
            <w:proofErr w:type="spellStart"/>
            <w:r w:rsidR="000D746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obtenir</w:t>
            </w:r>
            <w:proofErr w:type="spellEnd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une</w:t>
            </w:r>
            <w:proofErr w:type="spellEnd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autre</w:t>
            </w:r>
            <w:proofErr w:type="spellEnd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centaine</w:t>
            </w:r>
            <w:proofErr w:type="spellEnd"/>
            <w:r w:rsidRPr="003957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 »</w:t>
            </w:r>
          </w:p>
        </w:tc>
      </w:tr>
      <w:tr w:rsidR="002F142C" w14:paraId="01BA3F47" w14:textId="6CC135FD" w:rsidTr="00D56FF8">
        <w:trPr>
          <w:trHeight w:hRule="exact" w:val="279"/>
        </w:trPr>
        <w:tc>
          <w:tcPr>
            <w:tcW w:w="13862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8F2C110" w:rsidR="002F142C" w:rsidRPr="00D7596A" w:rsidRDefault="001F33FB" w:rsidP="00D56F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Observations et d</w:t>
            </w:r>
            <w:r w:rsidR="002F142C" w:rsidRPr="00D7596A">
              <w:rPr>
                <w:rFonts w:ascii="Arial" w:hAnsi="Arial" w:cs="Arial"/>
                <w:b/>
                <w:sz w:val="24"/>
                <w:szCs w:val="24"/>
              </w:rPr>
              <w:t>ocumentation</w:t>
            </w:r>
          </w:p>
        </w:tc>
      </w:tr>
      <w:tr w:rsidR="006258EB" w14:paraId="2655FD40" w14:textId="77777777" w:rsidTr="00D56FF8">
        <w:trPr>
          <w:trHeight w:val="136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7AB462C" w14:textId="5465F9E8" w:rsidR="00523529" w:rsidRDefault="00523529" w:rsidP="00D56FF8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0AFDDCC" w14:textId="023677C9" w:rsidR="00523529" w:rsidRDefault="00523529" w:rsidP="00D56FF8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5DCD6D1" w14:textId="77777777" w:rsidR="00523529" w:rsidRDefault="00523529" w:rsidP="00D56FF8">
            <w:pPr>
              <w:rPr>
                <w:noProof/>
                <w:lang w:eastAsia="en-CA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1429E57F" w14:textId="45811094" w:rsidR="00523529" w:rsidRDefault="00523529" w:rsidP="00D56FF8">
            <w:pPr>
              <w:jc w:val="center"/>
              <w:rPr>
                <w:noProof/>
                <w:lang w:eastAsia="en-CA"/>
              </w:rPr>
            </w:pPr>
          </w:p>
        </w:tc>
      </w:tr>
      <w:tr w:rsidR="006258EB" w:rsidRPr="00345039" w14:paraId="6D0F53A8" w14:textId="77777777" w:rsidTr="00D56FF8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BE137FF" w14:textId="77777777" w:rsidR="00523529" w:rsidRDefault="00523529" w:rsidP="00D56FF8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A2E10E0" w14:textId="77777777" w:rsidR="00523529" w:rsidRPr="00345039" w:rsidRDefault="00523529" w:rsidP="00D56FF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44A0FAE" w14:textId="77777777" w:rsidR="00523529" w:rsidRPr="00345039" w:rsidRDefault="00523529" w:rsidP="00D56FF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84869CA" w14:textId="77777777" w:rsidR="00523529" w:rsidRPr="00345039" w:rsidRDefault="00523529" w:rsidP="00D56FF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C96FC4" w:rsidRPr="00CD2187" w14:paraId="1228DFEB" w14:textId="77777777" w:rsidTr="00D56FF8">
        <w:trPr>
          <w:trHeight w:hRule="exact" w:val="463"/>
        </w:trPr>
        <w:tc>
          <w:tcPr>
            <w:tcW w:w="13862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7E94164F" w14:textId="66779D6B" w:rsidR="00C96FC4" w:rsidRPr="00CD2187" w:rsidRDefault="009677EB" w:rsidP="00D56FF8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Comportements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stratégies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: </w:t>
            </w:r>
            <w:proofErr w:type="spellStart"/>
            <w:r w:rsidR="00F241E9">
              <w:rPr>
                <w:rFonts w:ascii="Arial" w:eastAsia="Verdana" w:hAnsi="Arial" w:cs="Arial"/>
                <w:b/>
                <w:sz w:val="24"/>
                <w:szCs w:val="24"/>
              </w:rPr>
              <w:t>séparer</w:t>
            </w:r>
            <w:proofErr w:type="spellEnd"/>
            <w:r w:rsidR="00F241E9">
              <w:rPr>
                <w:rFonts w:ascii="Arial" w:eastAsia="Verdana" w:hAnsi="Arial" w:cs="Arial"/>
                <w:b/>
                <w:sz w:val="24"/>
                <w:szCs w:val="24"/>
              </w:rPr>
              <w:t xml:space="preserve"> des </w:t>
            </w:r>
            <w:proofErr w:type="spellStart"/>
            <w:r w:rsidR="00F241E9">
              <w:rPr>
                <w:rFonts w:ascii="Arial" w:eastAsia="Verdana" w:hAnsi="Arial" w:cs="Arial"/>
                <w:b/>
                <w:sz w:val="24"/>
                <w:szCs w:val="24"/>
              </w:rPr>
              <w:t>quantités</w:t>
            </w:r>
            <w:proofErr w:type="spellEnd"/>
            <w:r w:rsidR="00F241E9">
              <w:rPr>
                <w:rFonts w:ascii="Arial" w:eastAsia="Verdana" w:hAnsi="Arial" w:cs="Arial"/>
                <w:b/>
                <w:sz w:val="24"/>
                <w:szCs w:val="24"/>
              </w:rPr>
              <w:t xml:space="preserve"> en </w:t>
            </w:r>
            <w:proofErr w:type="spellStart"/>
            <w:r w:rsidR="00F241E9">
              <w:rPr>
                <w:rFonts w:ascii="Arial" w:eastAsia="Verdana" w:hAnsi="Arial" w:cs="Arial"/>
                <w:b/>
                <w:sz w:val="24"/>
                <w:szCs w:val="24"/>
              </w:rPr>
              <w:t>unités</w:t>
            </w:r>
            <w:proofErr w:type="spellEnd"/>
            <w:r w:rsidR="00F241E9">
              <w:rPr>
                <w:rFonts w:ascii="Arial" w:eastAsia="Verdana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="00F241E9">
              <w:rPr>
                <w:rFonts w:ascii="Arial" w:eastAsia="Verdana" w:hAnsi="Arial" w:cs="Arial"/>
                <w:b/>
                <w:sz w:val="24"/>
                <w:szCs w:val="24"/>
              </w:rPr>
              <w:t>taille</w:t>
            </w:r>
            <w:proofErr w:type="spellEnd"/>
            <w:r w:rsidR="00F241E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F241E9">
              <w:rPr>
                <w:rFonts w:ascii="Arial" w:eastAsia="Verdana" w:hAnsi="Arial" w:cs="Arial"/>
                <w:b/>
                <w:sz w:val="24"/>
                <w:szCs w:val="24"/>
              </w:rPr>
              <w:t>égale</w:t>
            </w:r>
            <w:proofErr w:type="spellEnd"/>
          </w:p>
        </w:tc>
      </w:tr>
      <w:tr w:rsidR="00C96FC4" w:rsidRPr="00BD1226" w14:paraId="1099829D" w14:textId="77777777" w:rsidTr="00D56FF8">
        <w:trPr>
          <w:trHeight w:hRule="exact" w:val="194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75C02" w14:textId="72610EED" w:rsidR="00C96FC4" w:rsidRDefault="0098658D" w:rsidP="00D56FF8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L’élève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compte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les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objets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par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unités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mais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 de la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difficulté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à les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séparer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en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groupes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taille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égale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tous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les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groupes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ne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sont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pas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égaux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>).</w:t>
            </w:r>
          </w:p>
          <w:p w14:paraId="2581ACB8" w14:textId="74EBEC4E" w:rsidR="00C96FC4" w:rsidRPr="00C96FC4" w:rsidRDefault="00523529" w:rsidP="00D56FF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9D55F81" wp14:editId="3311DA60">
                  <wp:extent cx="1051560" cy="475488"/>
                  <wp:effectExtent l="0" t="0" r="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2_n03_a16_t04_bl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C2B758" w14:textId="33045A2D" w:rsidR="00C96FC4" w:rsidRPr="00725170" w:rsidRDefault="0098658D" w:rsidP="00D56FF8">
            <w:pPr>
              <w:pStyle w:val="Pa6"/>
              <w:numPr>
                <w:ilvl w:val="0"/>
                <w:numId w:val="5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GoBack"/>
            <w:bookmarkEnd w:id="0"/>
            <w:proofErr w:type="spellStart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>L’élève</w:t>
            </w:r>
            <w:proofErr w:type="spellEnd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>sépare</w:t>
            </w:r>
            <w:proofErr w:type="spellEnd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 xml:space="preserve"> les </w:t>
            </w:r>
            <w:proofErr w:type="spellStart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>objets</w:t>
            </w:r>
            <w:proofErr w:type="spellEnd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 xml:space="preserve"> en </w:t>
            </w:r>
            <w:proofErr w:type="spellStart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>groupes</w:t>
            </w:r>
            <w:proofErr w:type="spellEnd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 xml:space="preserve"> de </w:t>
            </w:r>
            <w:proofErr w:type="spellStart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>taille</w:t>
            </w:r>
            <w:proofErr w:type="spellEnd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>égale</w:t>
            </w:r>
            <w:proofErr w:type="spellEnd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 xml:space="preserve"> et les </w:t>
            </w:r>
            <w:proofErr w:type="spellStart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>compte</w:t>
            </w:r>
            <w:proofErr w:type="spellEnd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 xml:space="preserve"> par bonds, </w:t>
            </w:r>
            <w:proofErr w:type="spellStart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>mais</w:t>
            </w:r>
            <w:proofErr w:type="spellEnd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 xml:space="preserve"> continue à </w:t>
            </w:r>
            <w:proofErr w:type="spellStart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>compter</w:t>
            </w:r>
            <w:proofErr w:type="spellEnd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 xml:space="preserve"> les </w:t>
            </w:r>
            <w:proofErr w:type="spellStart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>unités</w:t>
            </w:r>
            <w:proofErr w:type="spellEnd"/>
            <w:r w:rsidRPr="00725170">
              <w:rPr>
                <w:rFonts w:ascii="Arial" w:hAnsi="Arial" w:cs="Arial"/>
                <w:color w:val="626365"/>
                <w:sz w:val="19"/>
                <w:szCs w:val="19"/>
              </w:rPr>
              <w:t xml:space="preserve"> en surplus par bonds</w:t>
            </w:r>
            <w:r w:rsidR="00C96FC4" w:rsidRPr="00725170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D00A9AD" w14:textId="36BCFA5F" w:rsidR="00C96FC4" w:rsidRPr="00C96FC4" w:rsidRDefault="0048684C" w:rsidP="00D56FF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ADDF159" wp14:editId="292F0352">
                  <wp:extent cx="1856232" cy="530352"/>
                  <wp:effectExtent l="0" t="0" r="0" b="317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g05_n03_a19_ma2_tc-FR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232" cy="53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38AF67" w14:textId="62BE1444" w:rsidR="00C96FC4" w:rsidRPr="0028676E" w:rsidRDefault="0098658D" w:rsidP="00D56FF8">
            <w:pPr>
              <w:pStyle w:val="Pa6"/>
              <w:numPr>
                <w:ilvl w:val="0"/>
                <w:numId w:val="5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L’élève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sépare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les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objets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en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groupes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taille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égale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et les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compte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par bonds,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mais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ne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reconnaît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pas les liens entre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les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différentes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tailles</w:t>
            </w:r>
            <w:proofErr w:type="spellEnd"/>
            <w:r w:rsidR="00C96FC4" w:rsidRPr="00BD122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ADEE3E" w14:textId="74D79F98" w:rsidR="00C96FC4" w:rsidRPr="00BD1226" w:rsidRDefault="0098658D" w:rsidP="00D56FF8">
            <w:pPr>
              <w:pStyle w:val="Pa6"/>
              <w:numPr>
                <w:ilvl w:val="0"/>
                <w:numId w:val="5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L’élève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sépare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les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objets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en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groupes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de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taille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égale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et les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compte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par bonds et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il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reconnaît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les liens entre les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différentes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tailles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</w:rPr>
              <w:t>groupes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C96FC4" w:rsidRPr="00D7596A" w14:paraId="3497498E" w14:textId="77777777" w:rsidTr="00D56FF8">
        <w:trPr>
          <w:trHeight w:hRule="exact" w:val="279"/>
        </w:trPr>
        <w:tc>
          <w:tcPr>
            <w:tcW w:w="13862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347C73" w14:textId="7EDB9E76" w:rsidR="00C96FC4" w:rsidRPr="00D7596A" w:rsidRDefault="001F33FB" w:rsidP="00D56F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Observations et d</w:t>
            </w:r>
            <w:r w:rsidR="00C96FC4" w:rsidRPr="00D7596A">
              <w:rPr>
                <w:rFonts w:ascii="Arial" w:hAnsi="Arial" w:cs="Arial"/>
                <w:b/>
                <w:sz w:val="24"/>
                <w:szCs w:val="24"/>
              </w:rPr>
              <w:t>ocumentation</w:t>
            </w:r>
          </w:p>
        </w:tc>
      </w:tr>
      <w:tr w:rsidR="00C96FC4" w:rsidRPr="007A6B78" w14:paraId="3E464948" w14:textId="77777777" w:rsidTr="00D56FF8">
        <w:trPr>
          <w:trHeight w:val="1339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ED9724" w14:textId="77777777" w:rsidR="00C96FC4" w:rsidRPr="007A6B78" w:rsidRDefault="00C96FC4" w:rsidP="00D56FF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C0FA6" w14:textId="2DC977EC" w:rsidR="00C96FC4" w:rsidRDefault="00C96FC4" w:rsidP="00D56FF8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14FC2" w14:textId="77777777" w:rsidR="00C96FC4" w:rsidRPr="007A6B78" w:rsidRDefault="00C96FC4" w:rsidP="00D56FF8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88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DDBA70" w14:textId="77777777" w:rsidR="00C96FC4" w:rsidRPr="007A6B78" w:rsidRDefault="00C96FC4" w:rsidP="00D56FF8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01C38DE5" w14:textId="0DDD4166" w:rsidR="00C22EA1" w:rsidRDefault="00C22EA1" w:rsidP="00A2349F"/>
    <w:sectPr w:rsidR="00C22EA1" w:rsidSect="000B47B0">
      <w:headerReference w:type="default" r:id="rId16"/>
      <w:footerReference w:type="default" r:id="rId17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51E0F" w14:textId="77777777" w:rsidR="00B36D96" w:rsidRDefault="00B36D96" w:rsidP="00CA2529">
      <w:pPr>
        <w:spacing w:after="0" w:line="240" w:lineRule="auto"/>
      </w:pPr>
      <w:r>
        <w:separator/>
      </w:r>
    </w:p>
  </w:endnote>
  <w:endnote w:type="continuationSeparator" w:id="0">
    <w:p w14:paraId="7E5EF752" w14:textId="77777777" w:rsidR="00B36D96" w:rsidRDefault="00B36D9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FD21C" w14:textId="595AE874" w:rsidR="00AC46AB" w:rsidRPr="00AC46AB" w:rsidRDefault="00AC46AB" w:rsidP="00AC46AB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</w:t>
    </w:r>
    <w:r w:rsidR="003D0B90">
      <w:rPr>
        <w:rFonts w:ascii="Arial" w:hAnsi="Arial" w:cs="Arial"/>
        <w:b/>
        <w:sz w:val="15"/>
        <w:szCs w:val="15"/>
      </w:rPr>
      <w:t>athologie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="003D0B90" w:rsidRPr="00EF1817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>
      <w:rPr>
        <w:rFonts w:ascii="Arial" w:hAnsi="Arial" w:cs="Arial"/>
        <w:sz w:val="15"/>
        <w:szCs w:val="15"/>
      </w:rPr>
      <w:t xml:space="preserve">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ABC5088" wp14:editId="756A287A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0B90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</w:r>
    <w:r w:rsidR="003D0B90" w:rsidRPr="00EF1817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>
      <w:rPr>
        <w:rFonts w:ascii="Arial" w:hAnsi="Arial" w:cs="Arial"/>
        <w:sz w:val="15"/>
        <w:szCs w:val="15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D7794" w14:textId="77777777" w:rsidR="00B36D96" w:rsidRDefault="00B36D96" w:rsidP="00CA2529">
      <w:pPr>
        <w:spacing w:after="0" w:line="240" w:lineRule="auto"/>
      </w:pPr>
      <w:r>
        <w:separator/>
      </w:r>
    </w:p>
  </w:footnote>
  <w:footnote w:type="continuationSeparator" w:id="0">
    <w:p w14:paraId="196550C7" w14:textId="77777777" w:rsidR="00B36D96" w:rsidRDefault="00B36D9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3DA4B" w14:textId="1977D784" w:rsidR="000D5279" w:rsidRPr="00E71CBF" w:rsidRDefault="00FC03D3" w:rsidP="000D527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F19D71B" wp14:editId="2D5E0179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348FE" w14:textId="468EE26E" w:rsidR="000D5279" w:rsidRPr="00CB2021" w:rsidRDefault="00AB78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nombre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19D71B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1" o:spid="_x0000_s1026" type="#_x0000_t202" style="position:absolute;margin-left:-1.05pt;margin-top:8.7pt;width:126.05pt;height:3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" filled="f" stroked="f">
              <v:textbox>
                <w:txbxContent>
                  <w:p w14:paraId="079348FE" w14:textId="468EE26E" w:rsidR="000D5279" w:rsidRPr="00CB2021" w:rsidRDefault="00AB78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nombre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B508F" wp14:editId="51FE2A02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358980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Qm7AIAADs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gxUJuwCAAA7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E9E6113" wp14:editId="3CFEE14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DC45A7B" id="Pentagon 3" o:spid="_x0000_s1026" type="#_x0000_t15" style="position:absolute;margin-left:-.5pt;margin-top:1.35pt;width:135.05pt;height:3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1zlwIAAJU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Dk4g1zlwIAAJU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003FD">
      <w:rPr>
        <w:rFonts w:ascii="Arial" w:hAnsi="Arial" w:cs="Arial"/>
        <w:b/>
        <w:sz w:val="36"/>
        <w:szCs w:val="36"/>
      </w:rPr>
      <w:t>Fiche</w:t>
    </w:r>
    <w:r w:rsidRPr="00E71CBF">
      <w:rPr>
        <w:rFonts w:ascii="Arial" w:hAnsi="Arial" w:cs="Arial"/>
        <w:b/>
        <w:sz w:val="36"/>
        <w:szCs w:val="36"/>
      </w:rPr>
      <w:t xml:space="preserve"> </w:t>
    </w:r>
    <w:proofErr w:type="gramStart"/>
    <w:r w:rsidR="00C22EA1">
      <w:rPr>
        <w:rFonts w:ascii="Arial" w:hAnsi="Arial" w:cs="Arial"/>
        <w:b/>
        <w:sz w:val="36"/>
        <w:szCs w:val="36"/>
      </w:rPr>
      <w:t>4</w:t>
    </w:r>
    <w:r w:rsidR="00646A6E">
      <w:rPr>
        <w:rFonts w:ascii="Arial" w:hAnsi="Arial" w:cs="Arial"/>
        <w:b/>
        <w:sz w:val="36"/>
        <w:szCs w:val="36"/>
      </w:rPr>
      <w:t>5</w:t>
    </w:r>
    <w:r w:rsidR="004003FD">
      <w:rPr>
        <w:rFonts w:ascii="Arial" w:hAnsi="Arial" w:cs="Arial"/>
        <w:b/>
        <w:sz w:val="36"/>
        <w:szCs w:val="36"/>
      </w:rPr>
      <w:t xml:space="preserve"> </w:t>
    </w:r>
    <w:bookmarkStart w:id="1" w:name="_Hlk516557258"/>
    <w:r w:rsidR="004003FD">
      <w:rPr>
        <w:rFonts w:ascii="Arial" w:hAnsi="Arial" w:cs="Arial"/>
        <w:b/>
        <w:sz w:val="36"/>
        <w:szCs w:val="36"/>
      </w:rPr>
      <w:t>:</w:t>
    </w:r>
    <w:proofErr w:type="gramEnd"/>
    <w:r w:rsidR="004003FD">
      <w:rPr>
        <w:rFonts w:ascii="Arial" w:hAnsi="Arial" w:cs="Arial"/>
        <w:b/>
        <w:sz w:val="36"/>
        <w:szCs w:val="36"/>
      </w:rPr>
      <w:t xml:space="preserve"> </w:t>
    </w:r>
    <w:proofErr w:type="spellStart"/>
    <w:r w:rsidR="004003FD">
      <w:rPr>
        <w:rFonts w:ascii="Arial" w:hAnsi="Arial" w:cs="Arial"/>
        <w:b/>
        <w:sz w:val="36"/>
        <w:szCs w:val="36"/>
      </w:rPr>
      <w:t>Évaluation</w:t>
    </w:r>
    <w:proofErr w:type="spellEnd"/>
    <w:r w:rsidR="004003FD">
      <w:rPr>
        <w:rFonts w:ascii="Arial" w:hAnsi="Arial" w:cs="Arial"/>
        <w:b/>
        <w:sz w:val="36"/>
        <w:szCs w:val="36"/>
      </w:rPr>
      <w:t xml:space="preserve"> de </w:t>
    </w:r>
    <w:proofErr w:type="spellStart"/>
    <w:r w:rsidR="004003FD">
      <w:rPr>
        <w:rFonts w:ascii="Arial" w:hAnsi="Arial" w:cs="Arial"/>
        <w:b/>
        <w:sz w:val="36"/>
        <w:szCs w:val="36"/>
      </w:rPr>
      <w:t>l’activité</w:t>
    </w:r>
    <w:proofErr w:type="spellEnd"/>
    <w:r w:rsidR="00A2349F">
      <w:rPr>
        <w:rFonts w:ascii="Arial" w:hAnsi="Arial" w:cs="Arial"/>
        <w:b/>
        <w:sz w:val="36"/>
        <w:szCs w:val="36"/>
      </w:rPr>
      <w:t xml:space="preserve"> 16</w:t>
    </w:r>
  </w:p>
  <w:p w14:paraId="69BA348D" w14:textId="50BA8852" w:rsidR="000D5279" w:rsidRPr="00E71CBF" w:rsidRDefault="00FC03D3" w:rsidP="000D5279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bookmarkEnd w:id="1"/>
    <w:r w:rsidR="004003FD">
      <w:rPr>
        <w:rFonts w:ascii="Arial" w:hAnsi="Arial" w:cs="Arial"/>
        <w:b/>
        <w:sz w:val="28"/>
        <w:szCs w:val="28"/>
      </w:rPr>
      <w:t xml:space="preserve">Les </w:t>
    </w:r>
    <w:proofErr w:type="spellStart"/>
    <w:r w:rsidR="004003FD">
      <w:rPr>
        <w:rFonts w:ascii="Arial" w:hAnsi="Arial" w:cs="Arial"/>
        <w:b/>
        <w:sz w:val="28"/>
        <w:szCs w:val="28"/>
      </w:rPr>
      <w:t>regroupements</w:t>
    </w:r>
    <w:proofErr w:type="spellEnd"/>
    <w:r w:rsidR="004003FD">
      <w:rPr>
        <w:rFonts w:ascii="Arial" w:hAnsi="Arial" w:cs="Arial"/>
        <w:b/>
        <w:sz w:val="28"/>
        <w:szCs w:val="28"/>
      </w:rPr>
      <w:t xml:space="preserve"> et la </w:t>
    </w:r>
    <w:proofErr w:type="spellStart"/>
    <w:r w:rsidR="004003FD">
      <w:rPr>
        <w:rFonts w:ascii="Arial" w:hAnsi="Arial" w:cs="Arial"/>
        <w:b/>
        <w:sz w:val="28"/>
        <w:szCs w:val="28"/>
      </w:rPr>
      <w:t>valeur</w:t>
    </w:r>
    <w:proofErr w:type="spellEnd"/>
    <w:r w:rsidR="004003FD">
      <w:rPr>
        <w:rFonts w:ascii="Arial" w:hAnsi="Arial" w:cs="Arial"/>
        <w:b/>
        <w:sz w:val="28"/>
        <w:szCs w:val="28"/>
      </w:rPr>
      <w:t xml:space="preserve"> de </w:t>
    </w:r>
    <w:proofErr w:type="gramStart"/>
    <w:r w:rsidR="004003FD">
      <w:rPr>
        <w:rFonts w:ascii="Arial" w:hAnsi="Arial" w:cs="Arial"/>
        <w:b/>
        <w:sz w:val="28"/>
        <w:szCs w:val="28"/>
      </w:rPr>
      <w:t xml:space="preserve">position </w:t>
    </w:r>
    <w:r w:rsidR="000B47B0">
      <w:rPr>
        <w:rFonts w:ascii="Arial" w:hAnsi="Arial" w:cs="Arial"/>
        <w:b/>
        <w:sz w:val="28"/>
        <w:szCs w:val="28"/>
      </w:rPr>
      <w:t>:</w:t>
    </w:r>
    <w:proofErr w:type="gramEnd"/>
    <w:r w:rsidR="000B47B0">
      <w:rPr>
        <w:rFonts w:ascii="Arial" w:hAnsi="Arial" w:cs="Arial"/>
        <w:b/>
        <w:sz w:val="28"/>
        <w:szCs w:val="28"/>
      </w:rPr>
      <w:t xml:space="preserve"> </w:t>
    </w:r>
    <w:proofErr w:type="spellStart"/>
    <w:r w:rsidR="004003FD">
      <w:rPr>
        <w:rFonts w:ascii="Arial" w:hAnsi="Arial" w:cs="Arial"/>
        <w:b/>
        <w:sz w:val="28"/>
        <w:szCs w:val="28"/>
      </w:rPr>
      <w:t>Approfondissement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6C99"/>
    <w:rsid w:val="00032FD1"/>
    <w:rsid w:val="00050E5C"/>
    <w:rsid w:val="00053328"/>
    <w:rsid w:val="0008174D"/>
    <w:rsid w:val="00083EA6"/>
    <w:rsid w:val="00097C8F"/>
    <w:rsid w:val="000B47B0"/>
    <w:rsid w:val="000C2970"/>
    <w:rsid w:val="000C7349"/>
    <w:rsid w:val="000D7465"/>
    <w:rsid w:val="000F43C1"/>
    <w:rsid w:val="00112FF1"/>
    <w:rsid w:val="00192706"/>
    <w:rsid w:val="001975F2"/>
    <w:rsid w:val="001A7920"/>
    <w:rsid w:val="001F33FB"/>
    <w:rsid w:val="00207CC0"/>
    <w:rsid w:val="00216CA4"/>
    <w:rsid w:val="00226233"/>
    <w:rsid w:val="002303AE"/>
    <w:rsid w:val="00234B3B"/>
    <w:rsid w:val="00254851"/>
    <w:rsid w:val="00270D20"/>
    <w:rsid w:val="002733E1"/>
    <w:rsid w:val="002736C5"/>
    <w:rsid w:val="0028676E"/>
    <w:rsid w:val="002A06BF"/>
    <w:rsid w:val="002B19A5"/>
    <w:rsid w:val="002C432C"/>
    <w:rsid w:val="002C4CB2"/>
    <w:rsid w:val="002C7931"/>
    <w:rsid w:val="002E2CBC"/>
    <w:rsid w:val="002F142C"/>
    <w:rsid w:val="003014A9"/>
    <w:rsid w:val="003060B2"/>
    <w:rsid w:val="00345039"/>
    <w:rsid w:val="00364BE6"/>
    <w:rsid w:val="0038604B"/>
    <w:rsid w:val="003957E5"/>
    <w:rsid w:val="003D0B90"/>
    <w:rsid w:val="003F79B3"/>
    <w:rsid w:val="004003FD"/>
    <w:rsid w:val="00481400"/>
    <w:rsid w:val="00483555"/>
    <w:rsid w:val="0048684C"/>
    <w:rsid w:val="004959B6"/>
    <w:rsid w:val="004C1AD2"/>
    <w:rsid w:val="004D06FA"/>
    <w:rsid w:val="004D50B4"/>
    <w:rsid w:val="004E716A"/>
    <w:rsid w:val="00523529"/>
    <w:rsid w:val="0052500E"/>
    <w:rsid w:val="0052505C"/>
    <w:rsid w:val="00525DFB"/>
    <w:rsid w:val="0052693C"/>
    <w:rsid w:val="0053379E"/>
    <w:rsid w:val="005377E7"/>
    <w:rsid w:val="00543A9A"/>
    <w:rsid w:val="00581577"/>
    <w:rsid w:val="005B3A77"/>
    <w:rsid w:val="005B7D0F"/>
    <w:rsid w:val="005E1704"/>
    <w:rsid w:val="006258EB"/>
    <w:rsid w:val="00646A6E"/>
    <w:rsid w:val="00661689"/>
    <w:rsid w:val="00681F1D"/>
    <w:rsid w:val="00696ABC"/>
    <w:rsid w:val="006B210D"/>
    <w:rsid w:val="006F4D8E"/>
    <w:rsid w:val="00724146"/>
    <w:rsid w:val="00725170"/>
    <w:rsid w:val="00741178"/>
    <w:rsid w:val="00761683"/>
    <w:rsid w:val="0076731B"/>
    <w:rsid w:val="007751EB"/>
    <w:rsid w:val="00793E07"/>
    <w:rsid w:val="007A6B78"/>
    <w:rsid w:val="007B28B7"/>
    <w:rsid w:val="007E012D"/>
    <w:rsid w:val="00832B16"/>
    <w:rsid w:val="00852474"/>
    <w:rsid w:val="008C4B7B"/>
    <w:rsid w:val="008C6013"/>
    <w:rsid w:val="00916600"/>
    <w:rsid w:val="0092323E"/>
    <w:rsid w:val="009677EB"/>
    <w:rsid w:val="0097025A"/>
    <w:rsid w:val="009848B3"/>
    <w:rsid w:val="0098658D"/>
    <w:rsid w:val="00994C77"/>
    <w:rsid w:val="009B6FF8"/>
    <w:rsid w:val="00A16768"/>
    <w:rsid w:val="00A20BE1"/>
    <w:rsid w:val="00A2349F"/>
    <w:rsid w:val="00A43E96"/>
    <w:rsid w:val="00A84F39"/>
    <w:rsid w:val="00AB5ED4"/>
    <w:rsid w:val="00AB787C"/>
    <w:rsid w:val="00AC46AB"/>
    <w:rsid w:val="00AE494A"/>
    <w:rsid w:val="00B36D96"/>
    <w:rsid w:val="00B9593A"/>
    <w:rsid w:val="00BA072D"/>
    <w:rsid w:val="00BA10A4"/>
    <w:rsid w:val="00BD1226"/>
    <w:rsid w:val="00BD5ACB"/>
    <w:rsid w:val="00BD7F4D"/>
    <w:rsid w:val="00BE7BA6"/>
    <w:rsid w:val="00C22EA1"/>
    <w:rsid w:val="00C72956"/>
    <w:rsid w:val="00C85AE2"/>
    <w:rsid w:val="00C957B8"/>
    <w:rsid w:val="00C96FC4"/>
    <w:rsid w:val="00CA2529"/>
    <w:rsid w:val="00CB2021"/>
    <w:rsid w:val="00CD2121"/>
    <w:rsid w:val="00CD2187"/>
    <w:rsid w:val="00CF3ED1"/>
    <w:rsid w:val="00D41207"/>
    <w:rsid w:val="00D56FF8"/>
    <w:rsid w:val="00D615AD"/>
    <w:rsid w:val="00D7596A"/>
    <w:rsid w:val="00D93D48"/>
    <w:rsid w:val="00DA1368"/>
    <w:rsid w:val="00DB4EC8"/>
    <w:rsid w:val="00DD6F23"/>
    <w:rsid w:val="00E16179"/>
    <w:rsid w:val="00E21EE5"/>
    <w:rsid w:val="00E45E3B"/>
    <w:rsid w:val="00E613E3"/>
    <w:rsid w:val="00E71CBF"/>
    <w:rsid w:val="00E90EE5"/>
    <w:rsid w:val="00EE29C2"/>
    <w:rsid w:val="00F06AEF"/>
    <w:rsid w:val="00F10556"/>
    <w:rsid w:val="00F13112"/>
    <w:rsid w:val="00F241E9"/>
    <w:rsid w:val="00F33961"/>
    <w:rsid w:val="00F358C6"/>
    <w:rsid w:val="00F80019"/>
    <w:rsid w:val="00F8168A"/>
    <w:rsid w:val="00F86C1E"/>
    <w:rsid w:val="00FC03D3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16C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C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C9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C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C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7FB69-32B0-4327-8A78-D3F7D4E3E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550DA-B3E5-4FB2-B566-A98940F3D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87DDA-ED1F-466D-B4D8-30892CF72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09E475-B589-ED49-A3D8-9CA48D8A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230</Words>
  <Characters>1314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Santilli</cp:lastModifiedBy>
  <cp:revision>27</cp:revision>
  <cp:lastPrinted>2016-08-23T12:28:00Z</cp:lastPrinted>
  <dcterms:created xsi:type="dcterms:W3CDTF">2021-12-08T03:39:00Z</dcterms:created>
  <dcterms:modified xsi:type="dcterms:W3CDTF">2022-07-04T01:50:00Z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