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5E35" w14:textId="7B53EA97" w:rsidR="00211EA3" w:rsidRDefault="00EF5361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5B8F0D" wp14:editId="0E6A0962">
                <wp:simplePos x="0" y="0"/>
                <wp:positionH relativeFrom="column">
                  <wp:posOffset>0</wp:posOffset>
                </wp:positionH>
                <wp:positionV relativeFrom="paragraph">
                  <wp:posOffset>167843</wp:posOffset>
                </wp:positionV>
                <wp:extent cx="1477822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822" cy="332585"/>
                          <a:chOff x="0" y="0"/>
                          <a:chExt cx="1478133" cy="332759"/>
                        </a:xfrm>
                      </wpg:grpSpPr>
                      <wps:wsp>
                        <wps:cNvPr id="8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B083E" w14:textId="1E5ED76D" w:rsidR="00EF5361" w:rsidRPr="00764D7F" w:rsidRDefault="00EF5361" w:rsidP="00EF536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29a</w:t>
                              </w:r>
                            </w:p>
                            <w:p w14:paraId="1637F237" w14:textId="77777777" w:rsidR="00EF5361" w:rsidRDefault="00EF5361" w:rsidP="00EF5361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5B8F0D" id="Group 1" o:spid="_x0000_s1026" style="position:absolute;left:0;text-align:left;margin-left:0;margin-top:13.2pt;width:116.35pt;height:26.2pt;z-index:251661312;mso-width-relative:margin" coordsize="14781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653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04BB083E" w14:textId="1E5ED76D" w:rsidR="00EF5361" w:rsidRPr="00764D7F" w:rsidRDefault="00EF5361" w:rsidP="00EF536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1637F237" w14:textId="77777777" w:rsidR="00EF5361" w:rsidRDefault="00EF5361" w:rsidP="00EF5361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59264" behindDoc="0" locked="0" layoutInCell="1" allowOverlap="1" wp14:anchorId="1CC5A9B9" wp14:editId="171FB522">
            <wp:simplePos x="0" y="0"/>
            <wp:positionH relativeFrom="page">
              <wp:posOffset>3911600</wp:posOffset>
            </wp:positionH>
            <wp:positionV relativeFrom="line">
              <wp:posOffset>68580</wp:posOffset>
            </wp:positionV>
            <wp:extent cx="2246400" cy="680400"/>
            <wp:effectExtent l="0" t="0" r="0" b="5715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6400" cy="680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127074">
        <w:rPr>
          <w:rFonts w:ascii="Calibri" w:hAnsi="Calibri"/>
          <w:b/>
          <w:bCs/>
          <w:sz w:val="28"/>
          <w:szCs w:val="28"/>
        </w:rPr>
        <w:br/>
      </w:r>
      <w:r w:rsidR="00127074" w:rsidRPr="006A52A8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 xml:space="preserve">La </w:t>
      </w:r>
      <w:proofErr w:type="spellStart"/>
      <w:r w:rsidR="00127074" w:rsidRPr="006A52A8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>modélisation</w:t>
      </w:r>
      <w:proofErr w:type="spellEnd"/>
      <w:r w:rsidR="00127074" w:rsidRPr="006A52A8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 xml:space="preserve"> et </w:t>
      </w:r>
      <w:proofErr w:type="spellStart"/>
      <w:r w:rsidR="00127074" w:rsidRPr="006A52A8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>l’algèbre</w:t>
      </w:r>
      <w:proofErr w:type="spellEnd"/>
      <w:r w:rsidR="00127074" w:rsidRPr="006A52A8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 xml:space="preserve">, ensemble 3 : </w:t>
      </w:r>
      <w:proofErr w:type="spellStart"/>
      <w:r w:rsidR="00127074" w:rsidRPr="006A52A8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>L’égalité</w:t>
      </w:r>
      <w:proofErr w:type="spellEnd"/>
      <w:r w:rsidR="00127074" w:rsidRPr="006A52A8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 xml:space="preserve"> et </w:t>
      </w:r>
      <w:proofErr w:type="spellStart"/>
      <w:r w:rsidR="00127074" w:rsidRPr="006A52A8">
        <w:rPr>
          <w:rFonts w:ascii="Calibri" w:eastAsia="Calibri" w:hAnsi="Calibri" w:cs="Calibri"/>
          <w:b/>
          <w:bCs/>
          <w:iCs/>
          <w:sz w:val="28"/>
          <w:szCs w:val="28"/>
          <w:lang w:val="en-US"/>
        </w:rPr>
        <w:t>l’inégalité</w:t>
      </w:r>
      <w:proofErr w:type="spellEnd"/>
    </w:p>
    <w:p w14:paraId="7B83CBDA" w14:textId="77777777" w:rsidR="00211EA3" w:rsidRPr="00FF7569" w:rsidRDefault="00211EA3">
      <w:pPr>
        <w:pStyle w:val="Body"/>
        <w:jc w:val="center"/>
        <w:rPr>
          <w:rFonts w:ascii="Calibri" w:eastAsia="Calibri" w:hAnsi="Calibri" w:cs="Calibri"/>
          <w:sz w:val="13"/>
          <w:szCs w:val="13"/>
        </w:rPr>
      </w:pPr>
    </w:p>
    <w:p w14:paraId="0A3057AB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257CBF65" w14:textId="5A6D0931" w:rsidR="002522F4" w:rsidRPr="002522F4" w:rsidRDefault="0060228D" w:rsidP="00A15A80">
      <w:pPr>
        <w:pStyle w:val="Body"/>
        <w:rPr>
          <w:rFonts w:ascii="Calibri" w:hAnsi="Calibri"/>
        </w:rPr>
      </w:pPr>
      <w:r>
        <w:rPr>
          <w:rFonts w:ascii="Calibri" w:hAnsi="Calibri"/>
        </w:rPr>
        <w:t>L</w:t>
      </w:r>
      <w:r w:rsidR="00CE05EA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2522F4" w:rsidRPr="001820AD" w14:paraId="6EB607E3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64286B" w14:textId="4C9D8133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sz w:val="22"/>
                <w:szCs w:val="22"/>
              </w:rPr>
            </w:pPr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1820AD">
              <w:rPr>
                <w:rFonts w:ascii="Calibri" w:hAnsi="Calibri"/>
                <w:sz w:val="22"/>
                <w:szCs w:val="22"/>
              </w:rPr>
              <w:t>Comment la quantité peut-elle contribuer à un sens du nombre ?</w:t>
            </w:r>
          </w:p>
          <w:p w14:paraId="416F87B5" w14:textId="6E2938F6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Pr="001820AD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Pr="001820AD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Pr="001820A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2"/>
                <w:szCs w:val="22"/>
              </w:rPr>
              <w:t>analysent</w:t>
            </w:r>
            <w:proofErr w:type="spellEnd"/>
            <w:r w:rsidRPr="001820AD">
              <w:rPr>
                <w:rFonts w:ascii="Calibri" w:hAnsi="Calibri"/>
                <w:sz w:val="22"/>
                <w:szCs w:val="22"/>
              </w:rPr>
              <w:t xml:space="preserve"> la </w:t>
            </w:r>
            <w:proofErr w:type="spellStart"/>
            <w:r w:rsidRPr="001820AD">
              <w:rPr>
                <w:rFonts w:ascii="Calibri" w:hAnsi="Calibri"/>
                <w:sz w:val="22"/>
                <w:szCs w:val="22"/>
              </w:rPr>
              <w:t>quantité</w:t>
            </w:r>
            <w:proofErr w:type="spellEnd"/>
            <w:r w:rsidRPr="001820A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2"/>
                <w:szCs w:val="22"/>
              </w:rPr>
              <w:t>jusqu’à</w:t>
            </w:r>
            <w:proofErr w:type="spellEnd"/>
            <w:r w:rsidRPr="001820AD">
              <w:rPr>
                <w:rFonts w:ascii="Calibri" w:hAnsi="Calibri"/>
                <w:sz w:val="22"/>
                <w:szCs w:val="22"/>
              </w:rPr>
              <w:t xml:space="preserve"> 1 000.</w:t>
            </w:r>
          </w:p>
        </w:tc>
      </w:tr>
      <w:tr w:rsidR="002522F4" w:rsidRPr="001820AD" w14:paraId="73AC8467" w14:textId="77777777" w:rsidTr="00C536CD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58598733" w14:textId="77777777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7DA4938E" w14:textId="77777777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2DBD9B3C" w14:textId="77777777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5DF90EF5" w14:textId="77777777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1820AD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</w:tcPr>
          <w:p w14:paraId="36BFB5C1" w14:textId="77777777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1820AD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2522F4" w:rsidRPr="001820AD" w14:paraId="5954F0D2" w14:textId="77777777" w:rsidTr="00A15A80">
        <w:trPr>
          <w:trHeight w:val="397"/>
        </w:trPr>
        <w:tc>
          <w:tcPr>
            <w:tcW w:w="2127" w:type="dxa"/>
            <w:vMerge w:val="restart"/>
          </w:tcPr>
          <w:p w14:paraId="6C739880" w14:textId="77777777" w:rsidR="002522F4" w:rsidRPr="001820AD" w:rsidRDefault="002522F4" w:rsidP="00A15A80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mots qui peuvent décrire une comparaison entre deux quantités inégales </w:t>
            </w:r>
            <w:r w:rsidRPr="001820AD"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  <w:br/>
            </w:r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 :</w:t>
            </w:r>
          </w:p>
          <w:p w14:paraId="29AE4789" w14:textId="77777777" w:rsidR="002522F4" w:rsidRPr="001820AD" w:rsidRDefault="002522F4" w:rsidP="00A15A80">
            <w:pPr>
              <w:pStyle w:val="Body"/>
              <w:numPr>
                <w:ilvl w:val="0"/>
                <w:numId w:val="1"/>
              </w:numPr>
              <w:spacing w:line="220" w:lineRule="exact"/>
              <w:ind w:left="260" w:hanging="13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pas égale</w:t>
            </w:r>
          </w:p>
          <w:p w14:paraId="1DFB0EF0" w14:textId="77777777" w:rsidR="002522F4" w:rsidRPr="001820AD" w:rsidRDefault="002522F4" w:rsidP="00A15A80">
            <w:pPr>
              <w:pStyle w:val="Body"/>
              <w:numPr>
                <w:ilvl w:val="0"/>
                <w:numId w:val="1"/>
              </w:numPr>
              <w:spacing w:line="220" w:lineRule="exact"/>
              <w:ind w:left="260" w:hanging="13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supérieure à (plus grande que)</w:t>
            </w:r>
          </w:p>
          <w:p w14:paraId="4378E18F" w14:textId="77777777" w:rsidR="002522F4" w:rsidRPr="001820AD" w:rsidRDefault="002522F4" w:rsidP="00A15A80">
            <w:pPr>
              <w:pStyle w:val="Body"/>
              <w:numPr>
                <w:ilvl w:val="0"/>
                <w:numId w:val="1"/>
              </w:numPr>
              <w:spacing w:line="220" w:lineRule="exact"/>
              <w:ind w:left="260" w:hanging="130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inférieure à (plus petite que).</w:t>
            </w:r>
          </w:p>
          <w:p w14:paraId="0F71F2A9" w14:textId="77777777" w:rsidR="002522F4" w:rsidRPr="00F963BE" w:rsidRDefault="002522F4" w:rsidP="00A15A80">
            <w:pPr>
              <w:pStyle w:val="Body"/>
              <w:spacing w:line="220" w:lineRule="exact"/>
              <w:rPr>
                <w:rFonts w:ascii="Calibri" w:eastAsia="Calibri" w:hAnsi="Calibri" w:cs="Calibri"/>
                <w:sz w:val="10"/>
                <w:szCs w:val="10"/>
                <w:shd w:val="clear" w:color="auto" w:fill="FFFFFF"/>
              </w:rPr>
            </w:pPr>
          </w:p>
          <w:p w14:paraId="2176EA5B" w14:textId="77777777" w:rsidR="002522F4" w:rsidRPr="001820AD" w:rsidRDefault="002522F4" w:rsidP="00A15A80">
            <w:pPr>
              <w:pStyle w:val="Body"/>
              <w:spacing w:line="220" w:lineRule="exact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Le symbole &lt; (inférieur à, plus petit que) et le symbole &gt; (supérieur à, plus grand que) sont utilisés pour indiquer l’inégalité entre deux quantités.</w:t>
            </w:r>
          </w:p>
          <w:p w14:paraId="6A0957EF" w14:textId="77777777" w:rsidR="002522F4" w:rsidRPr="00F963BE" w:rsidRDefault="002522F4" w:rsidP="00A15A80">
            <w:pPr>
              <w:pStyle w:val="Body"/>
              <w:spacing w:line="220" w:lineRule="exact"/>
              <w:rPr>
                <w:rFonts w:ascii="Calibri" w:eastAsia="Calibri" w:hAnsi="Calibri" w:cs="Calibri"/>
                <w:sz w:val="10"/>
                <w:szCs w:val="10"/>
                <w:shd w:val="clear" w:color="auto" w:fill="FFFFFF"/>
              </w:rPr>
            </w:pPr>
          </w:p>
          <w:p w14:paraId="3C6054B6" w14:textId="037F527B" w:rsidR="002522F4" w:rsidRPr="001820AD" w:rsidRDefault="002522F4" w:rsidP="00A15A80">
            <w:pPr>
              <w:spacing w:line="22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L’égalité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modélisées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balance.</w:t>
            </w:r>
          </w:p>
        </w:tc>
        <w:tc>
          <w:tcPr>
            <w:tcW w:w="1701" w:type="dxa"/>
            <w:vMerge w:val="restart"/>
          </w:tcPr>
          <w:p w14:paraId="569E962B" w14:textId="76DE2913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déséquilibre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entre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3D779" w14:textId="79254D51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Modéliser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l’égalité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l’inégalité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entre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avec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balance. 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2E1B87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09E2DC3E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modélisation et l’algèbre, ensemble 3 : L’égalité et l’inégalité</w:t>
            </w:r>
          </w:p>
          <w:p w14:paraId="5F27F3F7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 w:rsidRPr="001820A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4</w:t>
            </w: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 xml:space="preserve"> : Des ensembles égaux et inégaux</w:t>
            </w:r>
          </w:p>
          <w:p w14:paraId="1AC72279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 w:rsidRPr="001820A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5</w:t>
            </w: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 xml:space="preserve"> : Égal ou non ?</w:t>
            </w:r>
          </w:p>
          <w:p w14:paraId="64824A55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1</w:t>
            </w:r>
            <w:r w:rsidRPr="001820A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6</w:t>
            </w: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 xml:space="preserve"> : Examiner les phrases numériques</w:t>
            </w:r>
          </w:p>
          <w:p w14:paraId="6E48598F" w14:textId="77777777" w:rsidR="002522F4" w:rsidRPr="001820AD" w:rsidRDefault="002522F4" w:rsidP="00F963BE">
            <w:pPr>
              <w:spacing w:line="240" w:lineRule="exact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 xml:space="preserve">18 : </w:t>
            </w:r>
            <w:proofErr w:type="spellStart"/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Approfondissement</w:t>
            </w:r>
            <w:proofErr w:type="spellEnd"/>
          </w:p>
          <w:p w14:paraId="78913653" w14:textId="77777777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</w:p>
          <w:p w14:paraId="2AA47DAE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modélisation et l’algèbre, Intervention</w:t>
            </w:r>
          </w:p>
          <w:p w14:paraId="0376438C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>5 : Examiner 10</w:t>
            </w:r>
          </w:p>
          <w:p w14:paraId="519E0D5B" w14:textId="6B0A0256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 xml:space="preserve">6 : </w:t>
            </w:r>
            <w:proofErr w:type="spellStart"/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Équilibrer</w:t>
            </w:r>
            <w:proofErr w:type="spellEnd"/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 xml:space="preserve"> des ensembles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33214" w14:textId="76F947E8" w:rsidR="002522F4" w:rsidRPr="001820AD" w:rsidRDefault="002522F4" w:rsidP="00F963BE">
            <w:pPr>
              <w:pStyle w:val="Body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1820AD">
              <w:rPr>
                <w:rFonts w:ascii="Calibri" w:hAnsi="Calibri"/>
                <w:sz w:val="20"/>
                <w:szCs w:val="20"/>
                <w:lang w:val="en-US"/>
              </w:rPr>
              <w:t>Pinotte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lang w:val="en-US"/>
              </w:rPr>
              <w:t>Loupi</w:t>
            </w:r>
            <w:proofErr w:type="spellEnd"/>
          </w:p>
        </w:tc>
      </w:tr>
      <w:tr w:rsidR="002522F4" w:rsidRPr="008910BA" w14:paraId="38F9870A" w14:textId="77777777" w:rsidTr="00A33E62">
        <w:trPr>
          <w:trHeight w:val="2443"/>
        </w:trPr>
        <w:tc>
          <w:tcPr>
            <w:tcW w:w="2127" w:type="dxa"/>
            <w:vMerge/>
          </w:tcPr>
          <w:p w14:paraId="6DC5C5E5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745CD6A" w14:textId="77777777" w:rsidR="002522F4" w:rsidRPr="001820AD" w:rsidRDefault="002522F4" w:rsidP="00F963BE">
            <w:pPr>
              <w:spacing w:line="240" w:lineRule="exact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E632A7" w14:textId="313EDD80" w:rsidR="002522F4" w:rsidRPr="001820AD" w:rsidRDefault="002522F4" w:rsidP="00F963BE">
            <w:pPr>
              <w:spacing w:line="240" w:lineRule="exact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étant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inférieure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(plus petite que),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supérieure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(plus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grande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que)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égale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autre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216668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07627FB9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modélisation et l’algèbre</w:t>
            </w:r>
            <w:r w:rsidRPr="001820AD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1820AD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ensemble </w:t>
            </w:r>
            <w:r w:rsidRPr="001820AD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3 : </w:t>
            </w:r>
            <w:r w:rsidRPr="001820AD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L’égalité et l’inégalité</w:t>
            </w:r>
          </w:p>
          <w:p w14:paraId="68CA8ACF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15 : Égal ou non ?</w:t>
            </w:r>
          </w:p>
          <w:p w14:paraId="3931EDA9" w14:textId="3D3C26A7" w:rsidR="002522F4" w:rsidRPr="001820AD" w:rsidRDefault="002522F4" w:rsidP="00F963BE">
            <w:pPr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 xml:space="preserve">16 : Examiner les phrases </w:t>
            </w:r>
            <w:proofErr w:type="spellStart"/>
            <w:r w:rsidRPr="001820AD">
              <w:rPr>
                <w:rFonts w:ascii="Calibri" w:hAnsi="Calibri"/>
                <w:i/>
                <w:iCs/>
                <w:sz w:val="20"/>
                <w:szCs w:val="20"/>
              </w:rPr>
              <w:t>numériques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62813F" w14:textId="77777777" w:rsidR="002522F4" w:rsidRPr="001820AD" w:rsidRDefault="002522F4" w:rsidP="00F963BE">
            <w:pPr>
              <w:pStyle w:val="Body"/>
              <w:spacing w:line="24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1820AD">
              <w:rPr>
                <w:rFonts w:ascii="Calibri" w:hAnsi="Calibri"/>
                <w:sz w:val="20"/>
                <w:szCs w:val="20"/>
              </w:rPr>
              <w:t xml:space="preserve">La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</w:rPr>
              <w:t>banique</w:t>
            </w:r>
            <w:proofErr w:type="spellEnd"/>
            <w:r w:rsidRPr="001820AD">
              <w:rPr>
                <w:rFonts w:ascii="Calibri" w:hAnsi="Calibri"/>
                <w:sz w:val="20"/>
                <w:szCs w:val="20"/>
              </w:rPr>
              <w:t xml:space="preserve"> de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</w:rPr>
              <w:t>Kokum</w:t>
            </w:r>
            <w:proofErr w:type="spellEnd"/>
          </w:p>
          <w:p w14:paraId="4B7740B0" w14:textId="56053609" w:rsidR="002522F4" w:rsidRPr="008910BA" w:rsidRDefault="002522F4" w:rsidP="00F963BE">
            <w:pPr>
              <w:pStyle w:val="Body"/>
              <w:spacing w:line="240" w:lineRule="exact"/>
              <w:rPr>
                <w:rFonts w:ascii="Calibri" w:hAnsi="Calibri" w:cs="Calibri"/>
                <w:sz w:val="20"/>
                <w:szCs w:val="20"/>
              </w:rPr>
            </w:pPr>
            <w:r w:rsidRPr="001820AD">
              <w:rPr>
                <w:rFonts w:ascii="Calibri" w:hAnsi="Calibri"/>
                <w:sz w:val="20"/>
                <w:szCs w:val="20"/>
              </w:rPr>
              <w:t xml:space="preserve">Retour à </w:t>
            </w:r>
            <w:proofErr w:type="spellStart"/>
            <w:r w:rsidRPr="001820AD">
              <w:rPr>
                <w:rFonts w:ascii="Calibri" w:hAnsi="Calibri"/>
                <w:sz w:val="20"/>
                <w:szCs w:val="20"/>
              </w:rPr>
              <w:t>Batoche</w:t>
            </w:r>
            <w:proofErr w:type="spellEnd"/>
          </w:p>
        </w:tc>
      </w:tr>
    </w:tbl>
    <w:p w14:paraId="20AF23DD" w14:textId="00707F17" w:rsidR="002522F4" w:rsidRDefault="002522F4">
      <w:pPr>
        <w:pStyle w:val="Body"/>
        <w:spacing w:after="120"/>
        <w:rPr>
          <w:rFonts w:ascii="Calibri" w:eastAsia="Calibri" w:hAnsi="Calibri" w:cs="Calibri"/>
        </w:rPr>
      </w:pPr>
    </w:p>
    <w:p w14:paraId="0005DFF6" w14:textId="46B4676E" w:rsidR="002022C1" w:rsidRDefault="00A15A80">
      <w:pPr>
        <w:rPr>
          <w:rFonts w:ascii="Calibri" w:eastAsia="Calibri" w:hAnsi="Calibri" w:cs="Calibri"/>
        </w:rPr>
      </w:pPr>
      <w:bookmarkStart w:id="0" w:name="_GoBack"/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855DB1" wp14:editId="4CB2814E">
                <wp:simplePos x="0" y="0"/>
                <wp:positionH relativeFrom="column">
                  <wp:posOffset>0</wp:posOffset>
                </wp:positionH>
                <wp:positionV relativeFrom="paragraph">
                  <wp:posOffset>54178</wp:posOffset>
                </wp:positionV>
                <wp:extent cx="1477645" cy="33210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645" cy="332105"/>
                          <a:chOff x="0" y="0"/>
                          <a:chExt cx="147813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380" y="19444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69E44" w14:textId="1FF2AB3D" w:rsidR="00EF5361" w:rsidRPr="00764D7F" w:rsidRDefault="00EF5361" w:rsidP="00EF536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29b</w:t>
                              </w:r>
                            </w:p>
                            <w:p w14:paraId="542249E1" w14:textId="77777777" w:rsidR="00EF5361" w:rsidRDefault="00EF5361" w:rsidP="00EF5361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3855DB1" id="Group 2" o:spid="_x0000_s1029" style="position:absolute;margin-left:0;margin-top:4.25pt;width:116.35pt;height:26.15pt;z-index:251663360;mso-width-relative:margin" coordsize="14781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1653;top:194;width:13128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14F69E44" w14:textId="1FF2AB3D" w:rsidR="00EF5361" w:rsidRPr="00764D7F" w:rsidRDefault="00EF5361" w:rsidP="00EF536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29b</w:t>
                        </w:r>
                      </w:p>
                      <w:p w14:paraId="542249E1" w14:textId="77777777" w:rsidR="00EF5361" w:rsidRDefault="00EF5361" w:rsidP="00EF5361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tbl>
      <w:tblPr>
        <w:tblpPr w:leftFromText="180" w:rightFromText="180" w:vertAnchor="page" w:tblpY="2023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DE7248" w:rsidRPr="002F337F" w14:paraId="4BF8DB55" w14:textId="77777777" w:rsidTr="00DE7248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EFB329E" w14:textId="77777777" w:rsidR="00DE7248" w:rsidRPr="002F337F" w:rsidRDefault="00DE7248" w:rsidP="00DE7248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2F337F">
              <w:rPr>
                <w:rFonts w:ascii="Calibri" w:hAnsi="Calibri"/>
                <w:sz w:val="22"/>
                <w:szCs w:val="22"/>
              </w:rPr>
              <w:t>Comment l’addition et la soustraction peuvent-elles être interprétées ?</w:t>
            </w:r>
          </w:p>
          <w:p w14:paraId="35D1C82B" w14:textId="77777777" w:rsidR="00DE7248" w:rsidRPr="002F337F" w:rsidRDefault="00DE7248" w:rsidP="00DE72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 w:rsidRPr="002F337F"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 w:rsidRPr="002F337F"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 w:rsidRPr="002F337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2"/>
                <w:szCs w:val="22"/>
              </w:rPr>
              <w:t>examinent</w:t>
            </w:r>
            <w:proofErr w:type="spellEnd"/>
            <w:r w:rsidRPr="002F337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2"/>
                <w:szCs w:val="22"/>
              </w:rPr>
              <w:t>l’addition</w:t>
            </w:r>
            <w:proofErr w:type="spellEnd"/>
            <w:r w:rsidRPr="002F337F">
              <w:rPr>
                <w:rFonts w:ascii="Calibri" w:hAnsi="Calibri"/>
                <w:sz w:val="22"/>
                <w:szCs w:val="22"/>
              </w:rPr>
              <w:t xml:space="preserve"> et la </w:t>
            </w:r>
            <w:proofErr w:type="spellStart"/>
            <w:r w:rsidRPr="002F337F">
              <w:rPr>
                <w:rFonts w:ascii="Calibri" w:hAnsi="Calibri"/>
                <w:sz w:val="22"/>
                <w:szCs w:val="22"/>
              </w:rPr>
              <w:t>soustraction</w:t>
            </w:r>
            <w:proofErr w:type="spellEnd"/>
            <w:r w:rsidRPr="002F337F">
              <w:rPr>
                <w:rFonts w:ascii="Calibri" w:hAnsi="Calibri"/>
                <w:sz w:val="22"/>
                <w:szCs w:val="22"/>
              </w:rPr>
              <w:t xml:space="preserve"> à </w:t>
            </w:r>
            <w:proofErr w:type="spellStart"/>
            <w:r w:rsidRPr="002F337F">
              <w:rPr>
                <w:rFonts w:ascii="Calibri" w:hAnsi="Calibri"/>
                <w:sz w:val="22"/>
                <w:szCs w:val="22"/>
              </w:rPr>
              <w:t>l’intérieur</w:t>
            </w:r>
            <w:proofErr w:type="spellEnd"/>
            <w:r w:rsidRPr="002F337F">
              <w:rPr>
                <w:rFonts w:ascii="Calibri" w:hAnsi="Calibri"/>
                <w:sz w:val="22"/>
                <w:szCs w:val="22"/>
              </w:rPr>
              <w:t xml:space="preserve"> de 100.</w:t>
            </w:r>
          </w:p>
        </w:tc>
      </w:tr>
      <w:tr w:rsidR="00DE7248" w:rsidRPr="002F337F" w14:paraId="1126FD09" w14:textId="77777777" w:rsidTr="00DE7248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503312F" w14:textId="77777777" w:rsidR="00DE7248" w:rsidRPr="002F337F" w:rsidRDefault="00DE7248" w:rsidP="00DE72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682A1BC" w14:textId="77777777" w:rsidR="00DE7248" w:rsidRPr="002F337F" w:rsidRDefault="00DE7248" w:rsidP="00DE72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5C834B9D" w14:textId="77777777" w:rsidR="00DE7248" w:rsidRPr="002F337F" w:rsidRDefault="00DE7248" w:rsidP="00DE72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33F8A738" w14:textId="77777777" w:rsidR="00DE7248" w:rsidRPr="002F337F" w:rsidRDefault="00DE7248" w:rsidP="00DE72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Pr="002F337F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533D95F" w14:textId="77777777" w:rsidR="00DE7248" w:rsidRPr="002F337F" w:rsidRDefault="00DE7248" w:rsidP="00DE724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2F337F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DE7248" w:rsidRPr="002F337F" w14:paraId="7794D0B7" w14:textId="77777777" w:rsidTr="00DE7248">
        <w:trPr>
          <w:trHeight w:val="703"/>
        </w:trPr>
        <w:tc>
          <w:tcPr>
            <w:tcW w:w="2127" w:type="dxa"/>
            <w:vMerge w:val="restart"/>
          </w:tcPr>
          <w:p w14:paraId="1FC60ED9" w14:textId="77777777" w:rsidR="00DE7248" w:rsidRPr="002F337F" w:rsidRDefault="00DE7248" w:rsidP="00DE724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Les faits familiers d’addition et de soustraction facilitent les stratégies d’addition et de soustraction.</w:t>
            </w:r>
          </w:p>
          <w:p w14:paraId="0C3466BD" w14:textId="77777777" w:rsidR="00DE7248" w:rsidRPr="002F337F" w:rsidRDefault="00DE7248" w:rsidP="00DE7248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51561436" w14:textId="77777777" w:rsidR="00DE7248" w:rsidRPr="002F337F" w:rsidRDefault="00DE7248" w:rsidP="00DE7248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stratégies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d’addition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de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les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deux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chiffres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comprennent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l’utilisation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multiples de dix et de doubles.</w:t>
            </w:r>
          </w:p>
        </w:tc>
        <w:tc>
          <w:tcPr>
            <w:tcW w:w="1701" w:type="dxa"/>
            <w:vMerge w:val="restart"/>
          </w:tcPr>
          <w:p w14:paraId="6E523441" w14:textId="77777777" w:rsidR="00DE7248" w:rsidRPr="002F337F" w:rsidRDefault="00DE7248" w:rsidP="00DE7248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L’addition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la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représenter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dénombrables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longueurs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mesurables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AB9D3E" w14:textId="77777777" w:rsidR="00DE7248" w:rsidRPr="002F337F" w:rsidRDefault="00DE7248" w:rsidP="00DE7248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Se rappeler et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appliquer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faits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d’addition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avec des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jusqu’à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10 et les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faits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soustraction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correspondants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C48A2" w14:textId="77777777" w:rsidR="00DE7248" w:rsidRPr="002F337F" w:rsidRDefault="00DE7248" w:rsidP="00DE7248">
            <w:pPr>
              <w:pStyle w:val="Body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002F337F">
              <w:rPr>
                <w:rFonts w:ascii="Calibri" w:hAnsi="Calibri"/>
                <w:i/>
                <w:iCs/>
                <w:sz w:val="20"/>
                <w:szCs w:val="20"/>
              </w:rPr>
              <w:t>Liens avec d’autres domaines :</w:t>
            </w:r>
          </w:p>
          <w:p w14:paraId="0E3B6B63" w14:textId="77777777" w:rsidR="00DE7248" w:rsidRPr="002F337F" w:rsidRDefault="00DE7248" w:rsidP="00DE7248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La modélisation et l’algèbre, Intervention</w:t>
            </w:r>
          </w:p>
          <w:p w14:paraId="1893643F" w14:textId="77777777" w:rsidR="00DE7248" w:rsidRPr="002F337F" w:rsidRDefault="00DE7248" w:rsidP="00DE7248">
            <w:pPr>
              <w:rPr>
                <w:rFonts w:ascii="Calibri" w:hAnsi="Calibri" w:cs="Calibri"/>
                <w:sz w:val="20"/>
                <w:szCs w:val="20"/>
              </w:rPr>
            </w:pPr>
            <w:r w:rsidRPr="002F337F">
              <w:rPr>
                <w:rFonts w:ascii="Calibri" w:hAnsi="Calibri"/>
                <w:i/>
                <w:iCs/>
                <w:sz w:val="20"/>
                <w:szCs w:val="20"/>
              </w:rPr>
              <w:t>5 : Examiner 10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798FF6" w14:textId="77777777" w:rsidR="00DE7248" w:rsidRPr="002F337F" w:rsidRDefault="00DE7248" w:rsidP="00DE7248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7248" w:rsidRPr="002F337F" w14:paraId="5D3A51A2" w14:textId="77777777" w:rsidTr="00DE7248">
        <w:trPr>
          <w:trHeight w:val="700"/>
        </w:trPr>
        <w:tc>
          <w:tcPr>
            <w:tcW w:w="2127" w:type="dxa"/>
            <w:vMerge/>
          </w:tcPr>
          <w:p w14:paraId="23180274" w14:textId="77777777" w:rsidR="00DE7248" w:rsidRPr="002F337F" w:rsidRDefault="00DE7248" w:rsidP="00DE7248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6B22ED49" w14:textId="77777777" w:rsidR="00DE7248" w:rsidRPr="002F337F" w:rsidRDefault="00DE7248" w:rsidP="00DE7248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5FEDC" w14:textId="77777777" w:rsidR="00DE7248" w:rsidRPr="002F337F" w:rsidRDefault="00DE7248" w:rsidP="00DE7248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Additionner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soustraire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nombres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100.</w:t>
            </w:r>
          </w:p>
        </w:tc>
        <w:tc>
          <w:tcPr>
            <w:tcW w:w="495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3F02C8" w14:textId="77777777" w:rsidR="00DE7248" w:rsidRPr="002F337F" w:rsidRDefault="00DE7248" w:rsidP="00DE7248">
            <w:pPr>
              <w:pStyle w:val="Body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2F337F">
              <w:rPr>
                <w:rFonts w:ascii="Calibri" w:hAnsi="Calibri"/>
                <w:i/>
                <w:iCs/>
                <w:sz w:val="20"/>
                <w:szCs w:val="20"/>
              </w:rPr>
              <w:t>Liens avec d</w:t>
            </w:r>
            <w:r w:rsidRPr="002F337F">
              <w:rPr>
                <w:rFonts w:ascii="Calibri" w:hAnsi="Calibri"/>
                <w:i/>
                <w:iCs/>
                <w:sz w:val="20"/>
                <w:szCs w:val="20"/>
                <w:rtl/>
              </w:rPr>
              <w:t>’</w:t>
            </w:r>
            <w:r w:rsidRPr="002F337F">
              <w:rPr>
                <w:rFonts w:ascii="Calibri" w:hAnsi="Calibri"/>
                <w:i/>
                <w:iCs/>
                <w:sz w:val="20"/>
                <w:szCs w:val="20"/>
              </w:rPr>
              <w:t>autres domaines :</w:t>
            </w:r>
            <w:r w:rsidRPr="002F337F">
              <w:rPr>
                <w:rFonts w:ascii="Calibri" w:hAnsi="Calibri"/>
                <w:i/>
                <w:iCs/>
                <w:sz w:val="20"/>
                <w:szCs w:val="20"/>
              </w:rPr>
              <w:br/>
            </w:r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 xml:space="preserve">La </w:t>
            </w:r>
            <w:proofErr w:type="spellStart"/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>mod</w:t>
            </w:r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élisation</w:t>
            </w:r>
            <w:proofErr w:type="spellEnd"/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 xml:space="preserve"> et l</w:t>
            </w:r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  <w:rtl/>
              </w:rPr>
              <w:t>’</w:t>
            </w:r>
            <w:proofErr w:type="spellStart"/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s-ES_tradnl"/>
              </w:rPr>
              <w:t>alg</w:t>
            </w:r>
            <w:proofErr w:type="spellEnd"/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it-IT"/>
              </w:rPr>
              <w:t>è</w:t>
            </w:r>
            <w:proofErr w:type="spellStart"/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bre</w:t>
            </w:r>
            <w:proofErr w:type="spellEnd"/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, ensemble 3 :</w:t>
            </w:r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2F337F">
              <w:rPr>
                <w:rFonts w:ascii="Calibri" w:hAnsi="Calibri"/>
                <w:b/>
                <w:bCs/>
                <w:i/>
                <w:iCs/>
                <w:sz w:val="20"/>
                <w:szCs w:val="20"/>
              </w:rPr>
              <w:t>L’égalité et l’inégalité</w:t>
            </w:r>
          </w:p>
          <w:p w14:paraId="415A89B9" w14:textId="77777777" w:rsidR="00DE7248" w:rsidRPr="002F337F" w:rsidRDefault="00DE7248" w:rsidP="00DE7248">
            <w:pPr>
              <w:pStyle w:val="Body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2F337F"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  <w:t xml:space="preserve">17 : </w:t>
            </w:r>
            <w:r w:rsidRPr="002F337F">
              <w:rPr>
                <w:rFonts w:ascii="Calibri" w:hAnsi="Calibri"/>
                <w:i/>
                <w:iCs/>
                <w:sz w:val="20"/>
                <w:szCs w:val="20"/>
              </w:rPr>
              <w:t>Des nombres manquants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25A98" w14:textId="77777777" w:rsidR="00DE7248" w:rsidRPr="002F337F" w:rsidRDefault="00DE7248" w:rsidP="00DE7248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7248" w:rsidRPr="002F337F" w14:paraId="224211C7" w14:textId="77777777" w:rsidTr="00DE7248">
        <w:trPr>
          <w:trHeight w:val="700"/>
        </w:trPr>
        <w:tc>
          <w:tcPr>
            <w:tcW w:w="2127" w:type="dxa"/>
            <w:vMerge/>
          </w:tcPr>
          <w:p w14:paraId="215A9A95" w14:textId="77777777" w:rsidR="00DE7248" w:rsidRPr="002F337F" w:rsidRDefault="00DE7248" w:rsidP="00DE7248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BE8FABB" w14:textId="77777777" w:rsidR="00DE7248" w:rsidRPr="002F337F" w:rsidRDefault="00DE7248" w:rsidP="00DE7248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E79F0B" w14:textId="77777777" w:rsidR="00DE7248" w:rsidRPr="002F337F" w:rsidRDefault="00DE7248" w:rsidP="00DE7248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Vérifier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opérations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inverses.</w:t>
            </w:r>
          </w:p>
        </w:tc>
        <w:tc>
          <w:tcPr>
            <w:tcW w:w="4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CD2AF0" w14:textId="77777777" w:rsidR="00DE7248" w:rsidRPr="002F337F" w:rsidRDefault="00DE7248" w:rsidP="00DE7248">
            <w:pPr>
              <w:pStyle w:val="Body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F4E6AB" w14:textId="77777777" w:rsidR="00DE7248" w:rsidRPr="002F337F" w:rsidRDefault="00DE7248" w:rsidP="00DE7248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7248" w:rsidRPr="008910BA" w14:paraId="512A0381" w14:textId="77777777" w:rsidTr="00DE7248">
        <w:trPr>
          <w:trHeight w:val="700"/>
        </w:trPr>
        <w:tc>
          <w:tcPr>
            <w:tcW w:w="2127" w:type="dxa"/>
            <w:vMerge/>
          </w:tcPr>
          <w:p w14:paraId="5BB0C919" w14:textId="77777777" w:rsidR="00DE7248" w:rsidRPr="002F337F" w:rsidRDefault="00DE7248" w:rsidP="00DE7248">
            <w:pPr>
              <w:pStyle w:val="Body"/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81F9AB3" w14:textId="77777777" w:rsidR="00DE7248" w:rsidRPr="002F337F" w:rsidRDefault="00DE7248" w:rsidP="00DE7248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7E9DF7" w14:textId="77777777" w:rsidR="00DE7248" w:rsidRPr="002F337F" w:rsidRDefault="00DE7248" w:rsidP="00DE7248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Déterminer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de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manquante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somme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différence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2F337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100.</w:t>
            </w:r>
          </w:p>
        </w:tc>
        <w:tc>
          <w:tcPr>
            <w:tcW w:w="4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EFDE0" w14:textId="77777777" w:rsidR="00DE7248" w:rsidRPr="002F337F" w:rsidRDefault="00DE7248" w:rsidP="00DE7248">
            <w:pPr>
              <w:pStyle w:val="Body"/>
              <w:rPr>
                <w:rFonts w:ascii="Calibri" w:hAnsi="Calibri"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E387D" w14:textId="77777777" w:rsidR="00DE7248" w:rsidRPr="008910BA" w:rsidRDefault="00DE7248" w:rsidP="00DE7248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2C4C47" w14:textId="4494CE03" w:rsidR="00211EA3" w:rsidRPr="00830689" w:rsidRDefault="00211EA3" w:rsidP="00830689">
      <w:pPr>
        <w:rPr>
          <w:rFonts w:ascii="Calibri" w:eastAsia="Calibri" w:hAnsi="Calibri" w:cs="Calibri"/>
          <w:color w:val="000000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p w14:paraId="347FB86F" w14:textId="6B2A0951" w:rsidR="00211EA3" w:rsidRDefault="00211EA3" w:rsidP="00830689">
      <w:pPr>
        <w:pStyle w:val="Body"/>
      </w:pPr>
    </w:p>
    <w:sectPr w:rsidR="00211EA3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8B557" w14:textId="77777777" w:rsidR="0034121E" w:rsidRDefault="0034121E">
      <w:r>
        <w:separator/>
      </w:r>
    </w:p>
  </w:endnote>
  <w:endnote w:type="continuationSeparator" w:id="0">
    <w:p w14:paraId="583E6A88" w14:textId="77777777" w:rsidR="0034121E" w:rsidRDefault="0034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3F248" w14:textId="77777777" w:rsidR="0034121E" w:rsidRDefault="0034121E">
      <w:r>
        <w:separator/>
      </w:r>
    </w:p>
  </w:footnote>
  <w:footnote w:type="continuationSeparator" w:id="0">
    <w:p w14:paraId="5C711B07" w14:textId="77777777" w:rsidR="0034121E" w:rsidRDefault="003412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056F7B"/>
    <w:rsid w:val="00127074"/>
    <w:rsid w:val="001820AD"/>
    <w:rsid w:val="002022C1"/>
    <w:rsid w:val="00211EA3"/>
    <w:rsid w:val="002522F4"/>
    <w:rsid w:val="002C6D65"/>
    <w:rsid w:val="002F337F"/>
    <w:rsid w:val="0034121E"/>
    <w:rsid w:val="004B724B"/>
    <w:rsid w:val="0052450D"/>
    <w:rsid w:val="005C2E3D"/>
    <w:rsid w:val="0060228D"/>
    <w:rsid w:val="006147C3"/>
    <w:rsid w:val="006A52A8"/>
    <w:rsid w:val="006B0523"/>
    <w:rsid w:val="00707E25"/>
    <w:rsid w:val="007C30CA"/>
    <w:rsid w:val="00830689"/>
    <w:rsid w:val="009B6BDE"/>
    <w:rsid w:val="00A15A80"/>
    <w:rsid w:val="00C536CD"/>
    <w:rsid w:val="00CE05EA"/>
    <w:rsid w:val="00D25A0C"/>
    <w:rsid w:val="00DE7248"/>
    <w:rsid w:val="00DF7E2C"/>
    <w:rsid w:val="00EF5361"/>
    <w:rsid w:val="00F21E83"/>
    <w:rsid w:val="00F963BE"/>
    <w:rsid w:val="00FB482D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71007F-6E72-4651-9A3E-CDBC67E9FA94}"/>
</file>

<file path=customXml/itemProps2.xml><?xml version="1.0" encoding="utf-8"?>
<ds:datastoreItem xmlns:ds="http://schemas.openxmlformats.org/officeDocument/2006/customXml" ds:itemID="{6BFE2E3E-8D0E-4E9D-BE5F-6C9424F93382}"/>
</file>

<file path=customXml/itemProps3.xml><?xml version="1.0" encoding="utf-8"?>
<ds:datastoreItem xmlns:ds="http://schemas.openxmlformats.org/officeDocument/2006/customXml" ds:itemID="{658CA5E9-BB23-4A64-B8D4-9850C7C2E5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