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ink/ink1.xml" ContentType="application/inkml+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922" w:tblpY="1675"/>
        <w:tblW w:w="13310" w:type="dxa"/>
        <w:tblLayout w:type="fixed"/>
        <w:tblLook w:val="04A0" w:firstRow="1" w:lastRow="0" w:firstColumn="1" w:lastColumn="0" w:noHBand="0" w:noVBand="1"/>
      </w:tblPr>
      <w:tblGrid>
        <w:gridCol w:w="3327"/>
        <w:gridCol w:w="3328"/>
        <w:gridCol w:w="3327"/>
        <w:gridCol w:w="3328"/>
      </w:tblGrid>
      <w:tr w:rsidR="002F142C" w:rsidRPr="001104B5" w14:paraId="2E39B3F8" w14:textId="716AFF69" w:rsidTr="001475D4">
        <w:trPr>
          <w:trHeight w:hRule="exact" w:val="462"/>
        </w:trPr>
        <w:tc>
          <w:tcPr>
            <w:tcW w:w="13310" w:type="dxa"/>
            <w:gridSpan w:val="4"/>
            <w:tcBorders>
              <w:top w:val="single" w:sz="24" w:space="0" w:color="auto"/>
              <w:left w:val="single" w:sz="24" w:space="0" w:color="auto"/>
              <w:right w:val="single" w:sz="24" w:space="0" w:color="auto"/>
            </w:tcBorders>
            <w:shd w:val="clear" w:color="auto" w:fill="D9D9D9" w:themeFill="background1" w:themeFillShade="D9"/>
          </w:tcPr>
          <w:p w14:paraId="30D563B2" w14:textId="3BB57624" w:rsidR="002F142C" w:rsidRPr="001104B5" w:rsidRDefault="00A97B2E" w:rsidP="001475D4">
            <w:pPr>
              <w:spacing w:before="60"/>
              <w:rPr>
                <w:rFonts w:ascii="Arial" w:eastAsia="Verdana" w:hAnsi="Arial" w:cs="Arial"/>
                <w:b/>
                <w:sz w:val="24"/>
                <w:szCs w:val="24"/>
                <w:lang w:val="fr-CA"/>
              </w:rPr>
            </w:pPr>
            <w:bookmarkStart w:id="0" w:name="_GoBack"/>
            <w:bookmarkEnd w:id="0"/>
            <w:r w:rsidRPr="001104B5">
              <w:rPr>
                <w:rFonts w:ascii="Arial" w:eastAsia="Verdana" w:hAnsi="Arial" w:cs="Arial"/>
                <w:b/>
                <w:sz w:val="24"/>
                <w:szCs w:val="24"/>
                <w:lang w:val="fr-CA"/>
              </w:rPr>
              <w:t>Comportements et stratégies : estimer des montants d’argent</w:t>
            </w:r>
          </w:p>
        </w:tc>
      </w:tr>
      <w:tr w:rsidR="002F142C" w14:paraId="76008433" w14:textId="055E6395" w:rsidTr="001475D4">
        <w:trPr>
          <w:trHeight w:hRule="exact" w:val="2448"/>
        </w:trPr>
        <w:tc>
          <w:tcPr>
            <w:tcW w:w="3327" w:type="dxa"/>
            <w:tcBorders>
              <w:top w:val="single" w:sz="24" w:space="0" w:color="auto"/>
              <w:left w:val="single" w:sz="24" w:space="0" w:color="auto"/>
              <w:bottom w:val="single" w:sz="4" w:space="0" w:color="auto"/>
              <w:right w:val="single" w:sz="24" w:space="0" w:color="auto"/>
            </w:tcBorders>
          </w:tcPr>
          <w:p w14:paraId="3F217A2C" w14:textId="3DBD614A" w:rsidR="00BD1226" w:rsidRPr="001104B5" w:rsidRDefault="00D438F3" w:rsidP="001475D4">
            <w:pPr>
              <w:pStyle w:val="Pa6"/>
              <w:numPr>
                <w:ilvl w:val="0"/>
                <w:numId w:val="6"/>
              </w:numPr>
              <w:ind w:left="291" w:hanging="291"/>
              <w:rPr>
                <w:rFonts w:ascii="Arial" w:hAnsi="Arial" w:cs="Arial"/>
                <w:color w:val="626365"/>
                <w:sz w:val="19"/>
                <w:szCs w:val="19"/>
                <w:lang w:val="fr-CA"/>
              </w:rPr>
            </w:pPr>
            <w:r w:rsidRPr="001104B5">
              <w:rPr>
                <w:rFonts w:ascii="Arial" w:hAnsi="Arial" w:cs="Arial"/>
                <w:color w:val="626365"/>
                <w:sz w:val="19"/>
                <w:szCs w:val="19"/>
                <w:lang w:val="fr-CA"/>
              </w:rPr>
              <w:t>L’élève devine plutôt que d’utiliser les repères pertinents pour estimer des quantités.</w:t>
            </w:r>
          </w:p>
          <w:p w14:paraId="57DB202C" w14:textId="00AD9A20" w:rsidR="006827EC" w:rsidRPr="006827EC" w:rsidRDefault="00E8288E" w:rsidP="00C841FF">
            <w:pPr>
              <w:pStyle w:val="Pa6"/>
              <w:ind w:left="630"/>
            </w:pPr>
            <w:r>
              <w:rPr>
                <w:noProof/>
                <w:lang w:val="en-US"/>
              </w:rPr>
              <mc:AlternateContent>
                <mc:Choice Requires="wpi">
                  <w:drawing>
                    <wp:anchor distT="0" distB="0" distL="114300" distR="114300" simplePos="0" relativeHeight="251660288" behindDoc="0" locked="0" layoutInCell="1" allowOverlap="1" wp14:anchorId="6A4D3FC5" wp14:editId="1F1E0876">
                      <wp:simplePos x="0" y="0"/>
                      <wp:positionH relativeFrom="column">
                        <wp:posOffset>1600875</wp:posOffset>
                      </wp:positionH>
                      <wp:positionV relativeFrom="paragraph">
                        <wp:posOffset>907035</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98FEB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25.7pt;margin-top:71.0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xw8ortUBAACdBAAAEAAAAGRycy9pbmsvaW5rMS54bWy0&#10;k01r3DAQhu+F/gehHHqpbUlrxxsTb05ZKKRQ8gHt0bGVtYglLZK83v33GX+s1iGbS2kxGGtkvTPz&#10;zKvrm71s0I4bK7TKMQ0JRlyVuhJqk+Onx3WwxMi6QlVFoxXP8YFbfLP6+uVaqFfZZPBGoKBs/yWb&#10;HNfObbMo6rou7BahNpuIEbKIfqjXn3d4NZ2q+ItQwkFKewyVWjm+d71YJqocl25P/P+g/aBbU3K/&#10;3UdMefrDmaLka21k4bxiXSjFG6QKCXX/xsgdtvAhIM+GG4ykgIYDFtI4jZe3VxAo9jmerVso0UIl&#10;EkfnNf/8B831R82+rAVLL1OMppIqvutrigbm2ee9/zJ6y40T/IR5hDJtHFA5rgc+IyjDrW7afjYY&#10;7YqmBWSUELDFlJtGZ4B81AM2/1QPuHyqNy/uPZqpvTmHCZq31HG0TkgORpdb7zFnQbgPPzgzXAdG&#10;2CIgLKDxI02yJM0ICVl8ORvF5OKj5rNpbe31ns3Jr8OOpzZ21onK1R46CQlLPPU583Nnay42tfvL&#10;w6VuNFyIadoXtyllLJ51NST0djtzeQcHoqn5e/6S44vh/qLh5BgYuieIIhYnafL9G4EnWNIr+s7G&#10;PgvMZ/UGAAD//wMAUEsDBBQABgAIAAAAIQAdEdie4AAAAAsBAAAPAAAAZHJzL2Rvd25yZXYueG1s&#10;TI/BTsMwDIbvSLxDZCRuLG1YKyhNJwRCggsSY4ftljahrWickmRr+/Z4Jzja/6ffn8vNbAd2Mj70&#10;DiWkqwSYwcbpHlsJu8+XmztgISrUanBoJCwmwKa6vChVod2EH+a0jS2jEgyFktDFOBach6YzVoWV&#10;Gw1S9uW8VZFG33Lt1UTlduAiSXJuVY90oVOjeepM8709Wgl19r60b8+p8rs45cmCr4cfvpfy+mp+&#10;fAAWzRz/YDjrkzpU5FS7I+rABgkiS9eEUrAWKTAiRCbugdXnzW0OvCr5/x+qX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uQ0HwawEAAAMDAAAOAAAAAAAA&#10;AAAAAAAAADwCAABkcnMvZTJvRG9jLnhtbFBLAQItABQABgAIAAAAIQDHDyiu1QEAAJ0EAAAQAAAA&#10;AAAAAAAAAAAAANMDAABkcnMvaW5rL2luazEueG1sUEsBAi0AFAAGAAgAAAAhAB0R2J7gAAAACwEA&#10;AA8AAAAAAAAAAAAAAAAA1gUAAGRycy9kb3ducmV2LnhtbFBLAQItABQABgAIAAAAIQB5GLydvwAA&#10;ACEBAAAZAAAAAAAAAAAAAAAAAOMGAABkcnMvX3JlbHMvZTJvRG9jLnhtbC5yZWxzUEsFBgAAAAAG&#10;AAYAeAEAANkHAAAAAA==&#10;">
                      <v:imagedata r:id="rId9" o:title=""/>
                    </v:shape>
                  </w:pict>
                </mc:Fallback>
              </mc:AlternateContent>
            </w:r>
            <w:r w:rsidR="001966EB">
              <w:rPr>
                <w:noProof/>
                <w:lang w:val="en-US"/>
              </w:rPr>
              <w:drawing>
                <wp:inline distT="0" distB="0" distL="0" distR="0" wp14:anchorId="395DB42F" wp14:editId="4B15F91C">
                  <wp:extent cx="1301496" cy="1021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g01_n09_a43_ma2_tc-F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1496" cy="1021080"/>
                          </a:xfrm>
                          <a:prstGeom prst="rect">
                            <a:avLst/>
                          </a:prstGeom>
                        </pic:spPr>
                      </pic:pic>
                    </a:graphicData>
                  </a:graphic>
                </wp:inline>
              </w:drawing>
            </w:r>
          </w:p>
        </w:tc>
        <w:tc>
          <w:tcPr>
            <w:tcW w:w="3328" w:type="dxa"/>
            <w:tcBorders>
              <w:top w:val="single" w:sz="24" w:space="0" w:color="auto"/>
              <w:left w:val="single" w:sz="24" w:space="0" w:color="auto"/>
              <w:bottom w:val="single" w:sz="4" w:space="0" w:color="auto"/>
              <w:right w:val="single" w:sz="24" w:space="0" w:color="auto"/>
            </w:tcBorders>
          </w:tcPr>
          <w:p w14:paraId="62681D99" w14:textId="190A2EBB" w:rsidR="00BD1226" w:rsidRPr="001104B5" w:rsidRDefault="00515DF3" w:rsidP="001475D4">
            <w:pPr>
              <w:pStyle w:val="Pa6"/>
              <w:numPr>
                <w:ilvl w:val="0"/>
                <w:numId w:val="6"/>
              </w:numPr>
              <w:ind w:left="291" w:hanging="291"/>
              <w:rPr>
                <w:rFonts w:ascii="Arial" w:hAnsi="Arial" w:cs="Arial"/>
                <w:color w:val="626365"/>
                <w:sz w:val="19"/>
                <w:szCs w:val="19"/>
                <w:lang w:val="fr-CA"/>
              </w:rPr>
            </w:pPr>
            <w:r w:rsidRPr="00B67A08">
              <w:rPr>
                <w:noProof/>
                <w:lang w:val="en-US"/>
              </w:rPr>
              <w:drawing>
                <wp:anchor distT="0" distB="0" distL="114300" distR="114300" simplePos="0" relativeHeight="251659264" behindDoc="0" locked="0" layoutInCell="1" allowOverlap="1" wp14:anchorId="53BF1A91" wp14:editId="6BB816C3">
                  <wp:simplePos x="0" y="0"/>
                  <wp:positionH relativeFrom="column">
                    <wp:posOffset>123825</wp:posOffset>
                  </wp:positionH>
                  <wp:positionV relativeFrom="paragraph">
                    <wp:posOffset>479425</wp:posOffset>
                  </wp:positionV>
                  <wp:extent cx="1563370" cy="908685"/>
                  <wp:effectExtent l="0" t="0" r="1143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_n09_a43_t02_bl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3370" cy="908685"/>
                          </a:xfrm>
                          <a:prstGeom prst="rect">
                            <a:avLst/>
                          </a:prstGeom>
                        </pic:spPr>
                      </pic:pic>
                    </a:graphicData>
                  </a:graphic>
                  <wp14:sizeRelH relativeFrom="margin">
                    <wp14:pctWidth>0</wp14:pctWidth>
                  </wp14:sizeRelH>
                  <wp14:sizeRelV relativeFrom="margin">
                    <wp14:pctHeight>0</wp14:pctHeight>
                  </wp14:sizeRelV>
                </wp:anchor>
              </w:drawing>
            </w:r>
            <w:r w:rsidR="006B689F" w:rsidRPr="001104B5">
              <w:rPr>
                <w:rFonts w:ascii="Arial" w:hAnsi="Arial" w:cs="Arial"/>
                <w:color w:val="626365"/>
                <w:sz w:val="19"/>
                <w:szCs w:val="19"/>
                <w:lang w:val="fr-CA"/>
              </w:rPr>
              <w:t>L’élève compte plutôt que d’utiliser les repères pertinents pour estimer des quantité</w:t>
            </w:r>
            <w:r w:rsidR="006827EC" w:rsidRPr="001104B5">
              <w:rPr>
                <w:rFonts w:ascii="Arial" w:hAnsi="Arial" w:cs="Arial"/>
                <w:color w:val="626365"/>
                <w:sz w:val="19"/>
                <w:szCs w:val="19"/>
                <w:lang w:val="fr-CA"/>
              </w:rPr>
              <w:t>s.</w:t>
            </w:r>
          </w:p>
          <w:p w14:paraId="7F95AA5C" w14:textId="396B97EE" w:rsidR="006827EC" w:rsidRPr="001104B5" w:rsidRDefault="006827EC" w:rsidP="001475D4">
            <w:pPr>
              <w:pStyle w:val="Pa6"/>
              <w:rPr>
                <w:lang w:val="fr-CA"/>
              </w:rPr>
            </w:pPr>
          </w:p>
        </w:tc>
        <w:tc>
          <w:tcPr>
            <w:tcW w:w="3327" w:type="dxa"/>
            <w:tcBorders>
              <w:top w:val="single" w:sz="24" w:space="0" w:color="auto"/>
              <w:left w:val="single" w:sz="24" w:space="0" w:color="auto"/>
              <w:bottom w:val="single" w:sz="4" w:space="0" w:color="auto"/>
              <w:right w:val="single" w:sz="24" w:space="0" w:color="auto"/>
            </w:tcBorders>
          </w:tcPr>
          <w:p w14:paraId="64B2316C" w14:textId="5FB4BBEA" w:rsidR="00481400" w:rsidRPr="001104B5" w:rsidRDefault="004B1CD1" w:rsidP="001475D4">
            <w:pPr>
              <w:pStyle w:val="Pa6"/>
              <w:numPr>
                <w:ilvl w:val="0"/>
                <w:numId w:val="6"/>
              </w:numPr>
              <w:ind w:left="291" w:hanging="291"/>
              <w:rPr>
                <w:rFonts w:ascii="Arial" w:hAnsi="Arial" w:cs="Arial"/>
                <w:color w:val="626365"/>
                <w:sz w:val="19"/>
                <w:szCs w:val="19"/>
                <w:lang w:val="fr-CA"/>
              </w:rPr>
            </w:pPr>
            <w:r w:rsidRPr="001104B5">
              <w:rPr>
                <w:rFonts w:ascii="Arial" w:hAnsi="Arial" w:cs="Arial"/>
                <w:color w:val="626365"/>
                <w:sz w:val="19"/>
                <w:szCs w:val="19"/>
                <w:lang w:val="fr-CA"/>
              </w:rPr>
              <w:t>L’élève utilise des repères pertinents pour estimer des quantités, mais ses estimations ne sont pas raisonnables.</w:t>
            </w:r>
          </w:p>
          <w:p w14:paraId="6E3EB05B" w14:textId="47D6C3A6" w:rsidR="006827EC" w:rsidRPr="006827EC" w:rsidRDefault="003E1E38" w:rsidP="001475D4">
            <w:pPr>
              <w:pStyle w:val="Pa6"/>
            </w:pPr>
            <w:r w:rsidRPr="001104B5">
              <w:rPr>
                <w:lang w:val="fr-CA"/>
              </w:rPr>
              <w:t xml:space="preserve">        </w:t>
            </w:r>
            <w:r>
              <w:rPr>
                <w:noProof/>
                <w:lang w:val="en-US"/>
              </w:rPr>
              <w:drawing>
                <wp:inline distT="0" distB="0" distL="0" distR="0" wp14:anchorId="75AF6724" wp14:editId="7C220478">
                  <wp:extent cx="1298448" cy="841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03_n09_a43_ma2_tc-F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8448" cy="841248"/>
                          </a:xfrm>
                          <a:prstGeom prst="rect">
                            <a:avLst/>
                          </a:prstGeom>
                        </pic:spPr>
                      </pic:pic>
                    </a:graphicData>
                  </a:graphic>
                </wp:inline>
              </w:drawing>
            </w:r>
          </w:p>
        </w:tc>
        <w:tc>
          <w:tcPr>
            <w:tcW w:w="3328" w:type="dxa"/>
            <w:tcBorders>
              <w:top w:val="single" w:sz="24" w:space="0" w:color="auto"/>
              <w:left w:val="single" w:sz="24" w:space="0" w:color="auto"/>
              <w:bottom w:val="single" w:sz="4" w:space="0" w:color="auto"/>
              <w:right w:val="single" w:sz="24" w:space="0" w:color="auto"/>
            </w:tcBorders>
          </w:tcPr>
          <w:p w14:paraId="302FACFA" w14:textId="57E9D467" w:rsidR="00BD1226" w:rsidRPr="001104B5" w:rsidRDefault="00FE4811" w:rsidP="001475D4">
            <w:pPr>
              <w:pStyle w:val="Pa6"/>
              <w:numPr>
                <w:ilvl w:val="0"/>
                <w:numId w:val="6"/>
              </w:numPr>
              <w:ind w:left="291" w:hanging="291"/>
              <w:rPr>
                <w:rFonts w:ascii="Arial" w:hAnsi="Arial" w:cs="Arial"/>
                <w:color w:val="626365"/>
                <w:sz w:val="19"/>
                <w:szCs w:val="19"/>
                <w:lang w:val="fr-CA"/>
              </w:rPr>
            </w:pPr>
            <w:r w:rsidRPr="001104B5">
              <w:rPr>
                <w:rFonts w:ascii="Arial" w:hAnsi="Arial" w:cs="Arial"/>
                <w:color w:val="626365"/>
                <w:sz w:val="19"/>
                <w:szCs w:val="19"/>
                <w:lang w:val="fr-CA"/>
              </w:rPr>
              <w:t>L’élève utilise des repères pertinents pour estimer des quantités et fait des estimations raisonnables.</w:t>
            </w:r>
          </w:p>
          <w:p w14:paraId="111EFC49" w14:textId="3C78BE8B" w:rsidR="006827EC" w:rsidRPr="006827EC" w:rsidRDefault="003E1E38" w:rsidP="001475D4">
            <w:pPr>
              <w:pStyle w:val="Pa6"/>
            </w:pPr>
            <w:r w:rsidRPr="001104B5">
              <w:rPr>
                <w:lang w:val="fr-CA"/>
              </w:rPr>
              <w:t xml:space="preserve">        </w:t>
            </w:r>
            <w:r>
              <w:rPr>
                <w:noProof/>
                <w:lang w:val="en-US"/>
              </w:rPr>
              <w:drawing>
                <wp:inline distT="0" distB="0" distL="0" distR="0" wp14:anchorId="1F761B9B" wp14:editId="55F1E8B1">
                  <wp:extent cx="1307592"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g04_n09_a43_ma2_tc-F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7592" cy="914400"/>
                          </a:xfrm>
                          <a:prstGeom prst="rect">
                            <a:avLst/>
                          </a:prstGeom>
                        </pic:spPr>
                      </pic:pic>
                    </a:graphicData>
                  </a:graphic>
                </wp:inline>
              </w:drawing>
            </w:r>
          </w:p>
        </w:tc>
      </w:tr>
      <w:tr w:rsidR="002F142C" w14:paraId="01BA3F47" w14:textId="6CC135FD" w:rsidTr="001475D4">
        <w:trPr>
          <w:trHeight w:hRule="exact" w:val="279"/>
        </w:trPr>
        <w:tc>
          <w:tcPr>
            <w:tcW w:w="13310" w:type="dxa"/>
            <w:gridSpan w:val="4"/>
            <w:tcBorders>
              <w:left w:val="single" w:sz="24" w:space="0" w:color="auto"/>
              <w:bottom w:val="single" w:sz="4" w:space="0" w:color="auto"/>
              <w:right w:val="single" w:sz="24" w:space="0" w:color="auto"/>
            </w:tcBorders>
            <w:shd w:val="clear" w:color="auto" w:fill="D9D9D9" w:themeFill="background1" w:themeFillShade="D9"/>
          </w:tcPr>
          <w:p w14:paraId="4B4110F6" w14:textId="17EE997C" w:rsidR="002F142C" w:rsidRPr="00D7596A" w:rsidRDefault="00CD60D4" w:rsidP="001475D4">
            <w:pPr>
              <w:rPr>
                <w:rFonts w:ascii="Arial" w:hAnsi="Arial" w:cs="Arial"/>
                <w:b/>
                <w:sz w:val="24"/>
                <w:szCs w:val="24"/>
              </w:rPr>
            </w:pPr>
            <w:r>
              <w:rPr>
                <w:rFonts w:ascii="Arial" w:hAnsi="Arial" w:cs="Arial"/>
                <w:b/>
                <w:sz w:val="24"/>
                <w:szCs w:val="24"/>
              </w:rPr>
              <w:t>Observations et d</w:t>
            </w:r>
            <w:r w:rsidR="002F142C" w:rsidRPr="00D7596A">
              <w:rPr>
                <w:rFonts w:ascii="Arial" w:hAnsi="Arial" w:cs="Arial"/>
                <w:b/>
                <w:sz w:val="24"/>
                <w:szCs w:val="24"/>
              </w:rPr>
              <w:t>ocumentation</w:t>
            </w:r>
          </w:p>
        </w:tc>
      </w:tr>
      <w:tr w:rsidR="002F142C" w14:paraId="06EBD03A" w14:textId="1A34967F" w:rsidTr="001475D4">
        <w:trPr>
          <w:trHeight w:val="1613"/>
        </w:trPr>
        <w:tc>
          <w:tcPr>
            <w:tcW w:w="3327" w:type="dxa"/>
            <w:tcBorders>
              <w:top w:val="single" w:sz="4" w:space="0" w:color="auto"/>
              <w:left w:val="single" w:sz="24" w:space="0" w:color="auto"/>
              <w:right w:val="single" w:sz="24" w:space="0" w:color="auto"/>
            </w:tcBorders>
          </w:tcPr>
          <w:p w14:paraId="669108D8" w14:textId="2D249BD5" w:rsidR="002F142C" w:rsidRDefault="002F142C" w:rsidP="001475D4">
            <w:pPr>
              <w:rPr>
                <w:noProof/>
                <w:lang w:eastAsia="en-CA"/>
              </w:rPr>
            </w:pPr>
          </w:p>
        </w:tc>
        <w:tc>
          <w:tcPr>
            <w:tcW w:w="3328" w:type="dxa"/>
            <w:tcBorders>
              <w:top w:val="single" w:sz="4" w:space="0" w:color="auto"/>
              <w:left w:val="single" w:sz="24" w:space="0" w:color="auto"/>
              <w:right w:val="single" w:sz="24" w:space="0" w:color="auto"/>
            </w:tcBorders>
          </w:tcPr>
          <w:p w14:paraId="650D38BC" w14:textId="59203999" w:rsidR="002F142C" w:rsidRDefault="002F142C" w:rsidP="001475D4">
            <w:pPr>
              <w:rPr>
                <w:noProof/>
                <w:lang w:eastAsia="en-CA"/>
              </w:rPr>
            </w:pPr>
          </w:p>
        </w:tc>
        <w:tc>
          <w:tcPr>
            <w:tcW w:w="3327" w:type="dxa"/>
            <w:tcBorders>
              <w:top w:val="single" w:sz="4" w:space="0" w:color="auto"/>
              <w:left w:val="single" w:sz="24" w:space="0" w:color="auto"/>
              <w:right w:val="single" w:sz="24" w:space="0" w:color="auto"/>
            </w:tcBorders>
          </w:tcPr>
          <w:p w14:paraId="5AD70BC8" w14:textId="151C9172" w:rsidR="002F142C" w:rsidRDefault="002F142C" w:rsidP="001475D4">
            <w:pPr>
              <w:rPr>
                <w:noProof/>
                <w:lang w:eastAsia="en-CA"/>
              </w:rPr>
            </w:pPr>
          </w:p>
        </w:tc>
        <w:tc>
          <w:tcPr>
            <w:tcW w:w="3328" w:type="dxa"/>
            <w:tcBorders>
              <w:top w:val="single" w:sz="4" w:space="0" w:color="auto"/>
              <w:left w:val="single" w:sz="24" w:space="0" w:color="auto"/>
              <w:right w:val="single" w:sz="24" w:space="0" w:color="auto"/>
            </w:tcBorders>
          </w:tcPr>
          <w:p w14:paraId="6E7E338A" w14:textId="7F32B814" w:rsidR="002F142C" w:rsidRDefault="002F142C" w:rsidP="001475D4">
            <w:pPr>
              <w:rPr>
                <w:noProof/>
                <w:lang w:eastAsia="en-CA"/>
              </w:rPr>
            </w:pPr>
          </w:p>
        </w:tc>
      </w:tr>
      <w:tr w:rsidR="002F142C" w14:paraId="0D590949" w14:textId="7A8C382E" w:rsidTr="001475D4">
        <w:trPr>
          <w:trHeight w:hRule="exact" w:val="112"/>
        </w:trPr>
        <w:tc>
          <w:tcPr>
            <w:tcW w:w="3327" w:type="dxa"/>
            <w:tcBorders>
              <w:top w:val="single" w:sz="24" w:space="0" w:color="auto"/>
              <w:left w:val="nil"/>
              <w:bottom w:val="single" w:sz="24" w:space="0" w:color="auto"/>
              <w:right w:val="nil"/>
            </w:tcBorders>
          </w:tcPr>
          <w:p w14:paraId="4877CE57" w14:textId="77777777" w:rsidR="002F142C" w:rsidRDefault="002F142C" w:rsidP="001475D4">
            <w:pPr>
              <w:pStyle w:val="Pa6"/>
              <w:rPr>
                <w:noProof/>
                <w:lang w:eastAsia="en-CA"/>
              </w:rPr>
            </w:pPr>
          </w:p>
        </w:tc>
        <w:tc>
          <w:tcPr>
            <w:tcW w:w="3328" w:type="dxa"/>
            <w:tcBorders>
              <w:top w:val="single" w:sz="24" w:space="0" w:color="auto"/>
              <w:left w:val="nil"/>
              <w:bottom w:val="single" w:sz="24" w:space="0" w:color="auto"/>
              <w:right w:val="nil"/>
            </w:tcBorders>
          </w:tcPr>
          <w:p w14:paraId="3733ABCF" w14:textId="77777777" w:rsidR="002F142C" w:rsidRPr="00345039" w:rsidRDefault="002F142C" w:rsidP="001475D4">
            <w:pPr>
              <w:pStyle w:val="Pa6"/>
              <w:rPr>
                <w:rFonts w:ascii="Verdana" w:hAnsi="Verdana" w:cs="Ergo LT Pro Condensed"/>
                <w:color w:val="626365"/>
                <w:sz w:val="19"/>
                <w:szCs w:val="19"/>
              </w:rPr>
            </w:pPr>
          </w:p>
        </w:tc>
        <w:tc>
          <w:tcPr>
            <w:tcW w:w="3327" w:type="dxa"/>
            <w:tcBorders>
              <w:top w:val="single" w:sz="24" w:space="0" w:color="auto"/>
              <w:left w:val="nil"/>
              <w:bottom w:val="single" w:sz="24" w:space="0" w:color="auto"/>
              <w:right w:val="nil"/>
            </w:tcBorders>
          </w:tcPr>
          <w:p w14:paraId="5452F39F" w14:textId="77777777" w:rsidR="002F142C" w:rsidRPr="00345039" w:rsidRDefault="002F142C" w:rsidP="001475D4">
            <w:pPr>
              <w:pStyle w:val="Pa6"/>
              <w:rPr>
                <w:rFonts w:ascii="Verdana" w:hAnsi="Verdana" w:cs="Ergo LT Pro Condensed"/>
                <w:color w:val="626365"/>
                <w:sz w:val="19"/>
                <w:szCs w:val="19"/>
              </w:rPr>
            </w:pPr>
          </w:p>
        </w:tc>
        <w:tc>
          <w:tcPr>
            <w:tcW w:w="3328" w:type="dxa"/>
            <w:tcBorders>
              <w:top w:val="single" w:sz="24" w:space="0" w:color="auto"/>
              <w:left w:val="nil"/>
              <w:bottom w:val="single" w:sz="24" w:space="0" w:color="auto"/>
              <w:right w:val="nil"/>
            </w:tcBorders>
          </w:tcPr>
          <w:p w14:paraId="70543112" w14:textId="77777777" w:rsidR="002F142C" w:rsidRPr="00345039" w:rsidRDefault="002F142C" w:rsidP="001475D4">
            <w:pPr>
              <w:pStyle w:val="Pa6"/>
              <w:rPr>
                <w:rFonts w:ascii="Verdana" w:hAnsi="Verdana" w:cs="Ergo LT Pro Condensed"/>
                <w:color w:val="626365"/>
                <w:sz w:val="19"/>
                <w:szCs w:val="19"/>
              </w:rPr>
            </w:pPr>
          </w:p>
        </w:tc>
      </w:tr>
      <w:tr w:rsidR="002F142C" w:rsidRPr="001104B5" w14:paraId="18703729" w14:textId="77777777" w:rsidTr="001475D4">
        <w:trPr>
          <w:trHeight w:hRule="exact" w:val="463"/>
        </w:trPr>
        <w:tc>
          <w:tcPr>
            <w:tcW w:w="13310" w:type="dxa"/>
            <w:gridSpan w:val="4"/>
            <w:tcBorders>
              <w:top w:val="single" w:sz="24" w:space="0" w:color="auto"/>
              <w:left w:val="single" w:sz="24" w:space="0" w:color="auto"/>
              <w:bottom w:val="single" w:sz="4" w:space="0" w:color="auto"/>
              <w:right w:val="single" w:sz="24" w:space="0" w:color="auto"/>
            </w:tcBorders>
            <w:shd w:val="clear" w:color="auto" w:fill="BFBFBF" w:themeFill="background1" w:themeFillShade="BF"/>
          </w:tcPr>
          <w:p w14:paraId="508EFC41" w14:textId="54270C47" w:rsidR="002F142C" w:rsidRPr="001104B5" w:rsidRDefault="00A97B2E" w:rsidP="001475D4">
            <w:pPr>
              <w:spacing w:before="60"/>
              <w:rPr>
                <w:rFonts w:ascii="Arial" w:hAnsi="Arial" w:cs="Arial"/>
                <w:color w:val="626365"/>
                <w:sz w:val="19"/>
                <w:szCs w:val="19"/>
                <w:lang w:val="fr-CA"/>
              </w:rPr>
            </w:pPr>
            <w:r w:rsidRPr="001104B5">
              <w:rPr>
                <w:rFonts w:ascii="Arial" w:eastAsia="Verdana" w:hAnsi="Arial" w:cs="Arial"/>
                <w:b/>
                <w:sz w:val="24"/>
                <w:szCs w:val="24"/>
                <w:lang w:val="fr-CA"/>
              </w:rPr>
              <w:t>Comportements et stratégies : compter et comparer des montants d’argent</w:t>
            </w:r>
          </w:p>
        </w:tc>
      </w:tr>
      <w:tr w:rsidR="002F142C" w:rsidRPr="001104B5" w14:paraId="72AC45F2" w14:textId="68EB8330" w:rsidTr="001475D4">
        <w:trPr>
          <w:trHeight w:hRule="exact" w:val="1656"/>
        </w:trPr>
        <w:tc>
          <w:tcPr>
            <w:tcW w:w="3327" w:type="dxa"/>
            <w:tcBorders>
              <w:top w:val="single" w:sz="24" w:space="0" w:color="auto"/>
              <w:left w:val="single" w:sz="24" w:space="0" w:color="auto"/>
              <w:bottom w:val="single" w:sz="4" w:space="0" w:color="auto"/>
              <w:right w:val="single" w:sz="24" w:space="0" w:color="auto"/>
            </w:tcBorders>
          </w:tcPr>
          <w:p w14:paraId="040B9AF2" w14:textId="418588FB" w:rsidR="002F142C" w:rsidRPr="001104B5" w:rsidRDefault="00840C52" w:rsidP="001475D4">
            <w:pPr>
              <w:pStyle w:val="Pa6"/>
              <w:numPr>
                <w:ilvl w:val="0"/>
                <w:numId w:val="10"/>
              </w:numPr>
              <w:ind w:left="285" w:hanging="266"/>
              <w:rPr>
                <w:rFonts w:ascii="Arial" w:hAnsi="Arial" w:cs="Arial"/>
                <w:color w:val="626365"/>
                <w:sz w:val="19"/>
                <w:szCs w:val="19"/>
                <w:lang w:val="fr-CA"/>
              </w:rPr>
            </w:pPr>
            <w:r w:rsidRPr="001104B5">
              <w:rPr>
                <w:rFonts w:ascii="Arial" w:hAnsi="Arial" w:cs="Arial"/>
                <w:color w:val="626365"/>
                <w:sz w:val="19"/>
                <w:szCs w:val="19"/>
                <w:lang w:val="fr-CA"/>
              </w:rPr>
              <w:t>L’élève place des pièces de monnaie correspondantes dans le pot, mais ne compte pas par bonds pour déterminer la valeur des pièces (ne compose pas des montants d’argent de leurs parties).</w:t>
            </w:r>
          </w:p>
        </w:tc>
        <w:tc>
          <w:tcPr>
            <w:tcW w:w="3328" w:type="dxa"/>
            <w:tcBorders>
              <w:top w:val="single" w:sz="24" w:space="0" w:color="auto"/>
              <w:left w:val="single" w:sz="24" w:space="0" w:color="auto"/>
              <w:bottom w:val="single" w:sz="4" w:space="0" w:color="auto"/>
              <w:right w:val="single" w:sz="24" w:space="0" w:color="auto"/>
            </w:tcBorders>
          </w:tcPr>
          <w:p w14:paraId="63ED580B" w14:textId="6A4830CA" w:rsidR="00B96BAC" w:rsidRPr="001104B5" w:rsidRDefault="00287BBB" w:rsidP="00287BBB">
            <w:pPr>
              <w:pStyle w:val="Pa6"/>
              <w:numPr>
                <w:ilvl w:val="0"/>
                <w:numId w:val="10"/>
              </w:numPr>
              <w:ind w:left="285" w:hanging="266"/>
              <w:rPr>
                <w:rFonts w:ascii="Arial" w:hAnsi="Arial" w:cs="Arial"/>
                <w:color w:val="626365"/>
                <w:sz w:val="19"/>
                <w:szCs w:val="19"/>
                <w:lang w:val="fr-CA"/>
              </w:rPr>
            </w:pPr>
            <w:r w:rsidRPr="001104B5">
              <w:rPr>
                <w:rFonts w:ascii="Arial" w:hAnsi="Arial" w:cs="Arial"/>
                <w:color w:val="626365"/>
                <w:sz w:val="19"/>
                <w:szCs w:val="19"/>
                <w:lang w:val="fr-CA"/>
              </w:rPr>
              <w:t>L’élève réussit à composer des montants d’argent de leurs parties, mais a de la difficulté à comparer et à ordonner des quantités.</w:t>
            </w:r>
          </w:p>
        </w:tc>
        <w:tc>
          <w:tcPr>
            <w:tcW w:w="3327" w:type="dxa"/>
            <w:tcBorders>
              <w:top w:val="single" w:sz="24" w:space="0" w:color="auto"/>
              <w:left w:val="single" w:sz="24" w:space="0" w:color="auto"/>
              <w:bottom w:val="single" w:sz="4" w:space="0" w:color="auto"/>
              <w:right w:val="single" w:sz="24" w:space="0" w:color="auto"/>
            </w:tcBorders>
          </w:tcPr>
          <w:p w14:paraId="6EA2B2A5" w14:textId="162C1676" w:rsidR="00B96BAC" w:rsidRPr="001104B5" w:rsidRDefault="008F57B5" w:rsidP="008F57B5">
            <w:pPr>
              <w:pStyle w:val="Pa6"/>
              <w:numPr>
                <w:ilvl w:val="0"/>
                <w:numId w:val="10"/>
              </w:numPr>
              <w:ind w:left="285" w:hanging="266"/>
              <w:rPr>
                <w:rFonts w:ascii="Arial" w:hAnsi="Arial" w:cs="Arial"/>
                <w:color w:val="626365"/>
                <w:sz w:val="19"/>
                <w:szCs w:val="19"/>
                <w:lang w:val="fr-CA"/>
              </w:rPr>
            </w:pPr>
            <w:r w:rsidRPr="001104B5">
              <w:rPr>
                <w:rFonts w:ascii="Arial" w:hAnsi="Arial" w:cs="Arial"/>
                <w:color w:val="626365"/>
                <w:sz w:val="19"/>
                <w:szCs w:val="19"/>
                <w:lang w:val="fr-CA"/>
              </w:rPr>
              <w:t>L’élève compose des montants d’argent de leurs parties et compare et ordonne des quantités, mais ne réalise pas que le nombre de pièces n’influence pas la valeur.</w:t>
            </w:r>
          </w:p>
        </w:tc>
        <w:tc>
          <w:tcPr>
            <w:tcW w:w="3328" w:type="dxa"/>
            <w:tcBorders>
              <w:top w:val="single" w:sz="24" w:space="0" w:color="auto"/>
              <w:left w:val="single" w:sz="24" w:space="0" w:color="auto"/>
              <w:bottom w:val="single" w:sz="4" w:space="0" w:color="auto"/>
              <w:right w:val="single" w:sz="24" w:space="0" w:color="auto"/>
            </w:tcBorders>
          </w:tcPr>
          <w:p w14:paraId="2E14A7D3" w14:textId="1A881464" w:rsidR="00B96BAC" w:rsidRPr="001104B5" w:rsidRDefault="003E65F5" w:rsidP="003E65F5">
            <w:pPr>
              <w:pStyle w:val="Pa6"/>
              <w:numPr>
                <w:ilvl w:val="0"/>
                <w:numId w:val="10"/>
              </w:numPr>
              <w:ind w:left="285" w:hanging="266"/>
              <w:rPr>
                <w:rFonts w:ascii="Arial" w:hAnsi="Arial" w:cs="Arial"/>
                <w:color w:val="626365"/>
                <w:sz w:val="19"/>
                <w:szCs w:val="19"/>
                <w:lang w:val="fr-CA"/>
              </w:rPr>
            </w:pPr>
            <w:r w:rsidRPr="001104B5">
              <w:rPr>
                <w:rFonts w:ascii="Arial" w:hAnsi="Arial" w:cs="Arial"/>
                <w:color w:val="626365"/>
                <w:sz w:val="19"/>
                <w:szCs w:val="19"/>
                <w:lang w:val="fr-CA"/>
              </w:rPr>
              <w:t>L’élève compose des montants d’argent de leurs parties, et compare et ordonne des quantités.</w:t>
            </w:r>
          </w:p>
        </w:tc>
      </w:tr>
      <w:tr w:rsidR="002F142C" w14:paraId="2990543E" w14:textId="697705E4" w:rsidTr="001475D4">
        <w:trPr>
          <w:trHeight w:hRule="exact" w:val="279"/>
        </w:trPr>
        <w:tc>
          <w:tcPr>
            <w:tcW w:w="13310" w:type="dxa"/>
            <w:gridSpan w:val="4"/>
            <w:tcBorders>
              <w:left w:val="single" w:sz="24" w:space="0" w:color="auto"/>
              <w:bottom w:val="single" w:sz="8" w:space="0" w:color="auto"/>
              <w:right w:val="single" w:sz="24" w:space="0" w:color="auto"/>
            </w:tcBorders>
            <w:shd w:val="clear" w:color="auto" w:fill="D9D9D9" w:themeFill="background1" w:themeFillShade="D9"/>
          </w:tcPr>
          <w:p w14:paraId="1629FD88" w14:textId="02DD95A6" w:rsidR="002F142C" w:rsidRPr="00D7596A" w:rsidRDefault="00CD60D4" w:rsidP="001475D4">
            <w:pPr>
              <w:rPr>
                <w:rFonts w:ascii="Arial" w:hAnsi="Arial" w:cs="Arial"/>
                <w:b/>
                <w:sz w:val="24"/>
                <w:szCs w:val="24"/>
              </w:rPr>
            </w:pPr>
            <w:r>
              <w:rPr>
                <w:rFonts w:ascii="Arial" w:hAnsi="Arial" w:cs="Arial"/>
                <w:b/>
                <w:sz w:val="24"/>
                <w:szCs w:val="24"/>
              </w:rPr>
              <w:t>Observations et d</w:t>
            </w:r>
            <w:r w:rsidR="002F142C" w:rsidRPr="00D7596A">
              <w:rPr>
                <w:rFonts w:ascii="Arial" w:hAnsi="Arial" w:cs="Arial"/>
                <w:b/>
                <w:sz w:val="24"/>
                <w:szCs w:val="24"/>
              </w:rPr>
              <w:t>ocumentation</w:t>
            </w:r>
          </w:p>
        </w:tc>
      </w:tr>
      <w:tr w:rsidR="002F142C" w14:paraId="2FDA25CD" w14:textId="63F00DFD" w:rsidTr="001475D4">
        <w:trPr>
          <w:trHeight w:val="1613"/>
        </w:trPr>
        <w:tc>
          <w:tcPr>
            <w:tcW w:w="3327" w:type="dxa"/>
            <w:tcBorders>
              <w:top w:val="single" w:sz="8" w:space="0" w:color="auto"/>
              <w:left w:val="single" w:sz="24" w:space="0" w:color="auto"/>
              <w:bottom w:val="single" w:sz="24" w:space="0" w:color="auto"/>
              <w:right w:val="single" w:sz="24" w:space="0" w:color="auto"/>
            </w:tcBorders>
          </w:tcPr>
          <w:p w14:paraId="250D260A" w14:textId="3A74ECE2" w:rsidR="002F142C" w:rsidRPr="007A6B78" w:rsidRDefault="002F142C" w:rsidP="001475D4">
            <w:pPr>
              <w:pStyle w:val="Pa6"/>
              <w:rPr>
                <w:rFonts w:ascii="Verdana" w:hAnsi="Verdana" w:cs="Ergo LT Pro Condensed"/>
                <w:color w:val="626365"/>
                <w:sz w:val="19"/>
                <w:szCs w:val="19"/>
              </w:rPr>
            </w:pPr>
          </w:p>
        </w:tc>
        <w:tc>
          <w:tcPr>
            <w:tcW w:w="3328" w:type="dxa"/>
            <w:tcBorders>
              <w:top w:val="single" w:sz="8" w:space="0" w:color="auto"/>
              <w:left w:val="single" w:sz="24" w:space="0" w:color="auto"/>
              <w:bottom w:val="single" w:sz="24" w:space="0" w:color="auto"/>
              <w:right w:val="single" w:sz="24" w:space="0" w:color="auto"/>
            </w:tcBorders>
          </w:tcPr>
          <w:p w14:paraId="04790802" w14:textId="3A506D11" w:rsidR="002F142C" w:rsidRDefault="002F142C" w:rsidP="001475D4">
            <w:pPr>
              <w:rPr>
                <w:noProof/>
                <w:lang w:eastAsia="en-CA"/>
              </w:rPr>
            </w:pPr>
          </w:p>
        </w:tc>
        <w:tc>
          <w:tcPr>
            <w:tcW w:w="3327" w:type="dxa"/>
            <w:tcBorders>
              <w:top w:val="single" w:sz="8" w:space="0" w:color="auto"/>
              <w:left w:val="single" w:sz="24" w:space="0" w:color="auto"/>
              <w:bottom w:val="single" w:sz="24" w:space="0" w:color="auto"/>
              <w:right w:val="single" w:sz="24" w:space="0" w:color="auto"/>
            </w:tcBorders>
          </w:tcPr>
          <w:p w14:paraId="3234D4F2" w14:textId="30F4CC5A" w:rsidR="002F142C" w:rsidRPr="007A6B78" w:rsidRDefault="002F142C" w:rsidP="001475D4">
            <w:pPr>
              <w:rPr>
                <w:rFonts w:ascii="Verdana" w:hAnsi="Verdana" w:cs="Ergo LT Pro Condensed"/>
                <w:color w:val="626365"/>
                <w:sz w:val="19"/>
                <w:szCs w:val="19"/>
              </w:rPr>
            </w:pPr>
          </w:p>
        </w:tc>
        <w:tc>
          <w:tcPr>
            <w:tcW w:w="3328" w:type="dxa"/>
            <w:tcBorders>
              <w:top w:val="single" w:sz="8" w:space="0" w:color="auto"/>
              <w:left w:val="single" w:sz="24" w:space="0" w:color="auto"/>
              <w:bottom w:val="single" w:sz="24" w:space="0" w:color="auto"/>
              <w:right w:val="single" w:sz="24" w:space="0" w:color="auto"/>
            </w:tcBorders>
          </w:tcPr>
          <w:p w14:paraId="0B559CF9" w14:textId="77777777" w:rsidR="002F142C" w:rsidRPr="007A6B78" w:rsidRDefault="002F142C" w:rsidP="001475D4">
            <w:pPr>
              <w:rPr>
                <w:rFonts w:ascii="Verdana" w:hAnsi="Verdana" w:cs="Ergo LT Pro Condensed"/>
                <w:color w:val="626365"/>
                <w:sz w:val="19"/>
                <w:szCs w:val="19"/>
              </w:rPr>
            </w:pPr>
          </w:p>
        </w:tc>
      </w:tr>
    </w:tbl>
    <w:p w14:paraId="51921C54" w14:textId="77777777" w:rsidR="00F10556" w:rsidRDefault="00F10556" w:rsidP="002F142C">
      <w:pPr>
        <w:ind w:right="582"/>
      </w:pPr>
    </w:p>
    <w:sectPr w:rsidR="00F10556" w:rsidSect="00E71CBF">
      <w:headerReference w:type="even" r:id="rId14"/>
      <w:headerReference w:type="default" r:id="rId15"/>
      <w:footerReference w:type="even" r:id="rId16"/>
      <w:footerReference w:type="default" r:id="rId17"/>
      <w:headerReference w:type="first" r:id="rId18"/>
      <w:footerReference w:type="first" r:id="rId19"/>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C78F5" w14:textId="77777777" w:rsidR="00BB29B8" w:rsidRDefault="00BB29B8" w:rsidP="00CA2529">
      <w:pPr>
        <w:spacing w:after="0" w:line="240" w:lineRule="auto"/>
      </w:pPr>
      <w:r>
        <w:separator/>
      </w:r>
    </w:p>
  </w:endnote>
  <w:endnote w:type="continuationSeparator" w:id="0">
    <w:p w14:paraId="6E83F96E" w14:textId="77777777" w:rsidR="00BB29B8" w:rsidRDefault="00BB29B8"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E14C" w14:textId="77777777" w:rsidR="00AF5739" w:rsidRDefault="00AF5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C968" w14:textId="5B6FE126" w:rsidR="0028676E" w:rsidRPr="001104B5" w:rsidRDefault="0028676E" w:rsidP="0028676E">
    <w:pPr>
      <w:pBdr>
        <w:top w:val="single" w:sz="4" w:space="0" w:color="auto"/>
      </w:pBdr>
      <w:tabs>
        <w:tab w:val="right" w:pos="13228"/>
      </w:tabs>
      <w:ind w:right="470"/>
      <w:rPr>
        <w:rFonts w:ascii="Arial" w:hAnsi="Arial" w:cs="Arial"/>
        <w:sz w:val="15"/>
        <w:szCs w:val="15"/>
        <w:lang w:val="fr-CA"/>
      </w:rPr>
    </w:pPr>
    <w:proofErr w:type="spellStart"/>
    <w:r w:rsidRPr="001104B5">
      <w:rPr>
        <w:rFonts w:ascii="Arial" w:hAnsi="Arial" w:cs="Arial"/>
        <w:b/>
        <w:sz w:val="15"/>
        <w:szCs w:val="15"/>
        <w:lang w:val="fr-CA"/>
      </w:rPr>
      <w:t>M</w:t>
    </w:r>
    <w:r w:rsidR="00CD60D4" w:rsidRPr="001104B5">
      <w:rPr>
        <w:rFonts w:ascii="Arial" w:hAnsi="Arial" w:cs="Arial"/>
        <w:b/>
        <w:sz w:val="15"/>
        <w:szCs w:val="15"/>
        <w:lang w:val="fr-CA"/>
      </w:rPr>
      <w:t>athologie</w:t>
    </w:r>
    <w:proofErr w:type="spellEnd"/>
    <w:r w:rsidRPr="001104B5">
      <w:rPr>
        <w:rFonts w:ascii="Arial" w:hAnsi="Arial" w:cs="Arial"/>
        <w:b/>
        <w:sz w:val="15"/>
        <w:szCs w:val="15"/>
        <w:lang w:val="fr-CA"/>
      </w:rPr>
      <w:t xml:space="preserve"> </w:t>
    </w:r>
    <w:r w:rsidR="005B7D0F" w:rsidRPr="001104B5">
      <w:rPr>
        <w:rFonts w:ascii="Arial" w:hAnsi="Arial" w:cs="Arial"/>
        <w:b/>
        <w:sz w:val="15"/>
        <w:szCs w:val="15"/>
        <w:lang w:val="fr-CA"/>
      </w:rPr>
      <w:t>2</w:t>
    </w:r>
    <w:r w:rsidR="001104B5">
      <w:rPr>
        <w:rFonts w:ascii="Arial" w:hAnsi="Arial" w:cs="Arial"/>
        <w:b/>
        <w:sz w:val="15"/>
        <w:szCs w:val="15"/>
        <w:lang w:val="fr-CA"/>
      </w:rPr>
      <w:t xml:space="preserve"> Alberta</w:t>
    </w:r>
    <w:r w:rsidRPr="001104B5">
      <w:rPr>
        <w:rFonts w:ascii="Arial" w:hAnsi="Arial" w:cs="Arial"/>
        <w:sz w:val="15"/>
        <w:szCs w:val="15"/>
        <w:lang w:val="fr-CA"/>
      </w:rPr>
      <w:tab/>
    </w:r>
    <w:r w:rsidR="00CD60D4" w:rsidRPr="00EF1817">
      <w:rPr>
        <w:rFonts w:ascii="Arial" w:hAnsi="Arial" w:cs="Arial"/>
        <w:sz w:val="15"/>
        <w:szCs w:val="15"/>
        <w:lang w:val="fr-CA"/>
      </w:rPr>
      <w:t>L’autorisation de reproduire ou de modifier cette page n’est accordée qu’aux écoles ayant effectué l’achat</w:t>
    </w:r>
    <w:r w:rsidRPr="001104B5">
      <w:rPr>
        <w:rFonts w:ascii="Arial" w:hAnsi="Arial" w:cs="Arial"/>
        <w:sz w:val="15"/>
        <w:szCs w:val="15"/>
        <w:lang w:val="fr-CA"/>
      </w:rPr>
      <w:t xml:space="preserve">. </w:t>
    </w:r>
    <w:r w:rsidRPr="001104B5">
      <w:rPr>
        <w:rFonts w:ascii="Arial" w:hAnsi="Arial" w:cs="Arial"/>
        <w:sz w:val="15"/>
        <w:szCs w:val="15"/>
        <w:lang w:val="fr-CA"/>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sidR="00CD60D4" w:rsidRPr="001104B5">
      <w:rPr>
        <w:rFonts w:ascii="Arial" w:hAnsi="Arial" w:cs="Arial"/>
        <w:sz w:val="15"/>
        <w:szCs w:val="15"/>
        <w:lang w:val="fr-CA"/>
      </w:rPr>
      <w:t xml:space="preserve"> Copyright © 202</w:t>
    </w:r>
    <w:r w:rsidR="001C4E62">
      <w:rPr>
        <w:rFonts w:ascii="Arial" w:hAnsi="Arial" w:cs="Arial"/>
        <w:sz w:val="15"/>
        <w:szCs w:val="15"/>
        <w:lang w:val="fr-CA"/>
      </w:rPr>
      <w:t>4</w:t>
    </w:r>
    <w:r w:rsidRPr="001104B5">
      <w:rPr>
        <w:rFonts w:ascii="Arial" w:hAnsi="Arial" w:cs="Arial"/>
        <w:sz w:val="15"/>
        <w:szCs w:val="15"/>
        <w:lang w:val="fr-CA"/>
      </w:rPr>
      <w:t xml:space="preserve"> Pearson Canada Inc.</w:t>
    </w:r>
    <w:r w:rsidRPr="001104B5">
      <w:rPr>
        <w:rFonts w:ascii="Arial" w:hAnsi="Arial" w:cs="Arial"/>
        <w:sz w:val="15"/>
        <w:szCs w:val="15"/>
        <w:lang w:val="fr-CA"/>
      </w:rPr>
      <w:tab/>
    </w:r>
    <w:r w:rsidR="00CD60D4" w:rsidRPr="00EF1817">
      <w:rPr>
        <w:rFonts w:ascii="Arial" w:hAnsi="Arial" w:cs="Arial"/>
        <w:sz w:val="15"/>
        <w:szCs w:val="15"/>
        <w:lang w:val="fr-CA"/>
      </w:rPr>
      <w:t>Cette page peut avoir été modifiée de sa forme initiale</w:t>
    </w:r>
    <w:r w:rsidRPr="001104B5">
      <w:rPr>
        <w:rFonts w:ascii="Arial" w:hAnsi="Arial" w:cs="Arial"/>
        <w:sz w:val="15"/>
        <w:szCs w:val="15"/>
        <w:lang w:val="fr-C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5CFB" w14:textId="77777777" w:rsidR="00AF5739" w:rsidRDefault="00AF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D9AE2" w14:textId="77777777" w:rsidR="00BB29B8" w:rsidRDefault="00BB29B8" w:rsidP="00CA2529">
      <w:pPr>
        <w:spacing w:after="0" w:line="240" w:lineRule="auto"/>
      </w:pPr>
      <w:r>
        <w:separator/>
      </w:r>
    </w:p>
  </w:footnote>
  <w:footnote w:type="continuationSeparator" w:id="0">
    <w:p w14:paraId="414711E5" w14:textId="77777777" w:rsidR="00BB29B8" w:rsidRDefault="00BB29B8"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FC779" w14:textId="77777777" w:rsidR="00AF5739" w:rsidRDefault="00AF5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A000" w14:textId="2A852C37" w:rsidR="00E613E3" w:rsidRPr="001104B5" w:rsidRDefault="00E21EE5" w:rsidP="00E71CBF">
    <w:pPr>
      <w:spacing w:after="0"/>
      <w:rPr>
        <w:rFonts w:ascii="Arial" w:hAnsi="Arial" w:cs="Arial"/>
        <w:b/>
        <w:sz w:val="36"/>
        <w:szCs w:val="36"/>
        <w:lang w:val="fr-CA"/>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5553365E">
              <wp:simplePos x="0" y="0"/>
              <wp:positionH relativeFrom="column">
                <wp:posOffset>-13335</wp:posOffset>
              </wp:positionH>
              <wp:positionV relativeFrom="paragraph">
                <wp:posOffset>110490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060FC0B1" w:rsidR="00E613E3" w:rsidRPr="00CB2021" w:rsidRDefault="00CD60D4">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05pt;margin-top:8.7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TjsIdgIAAFkFAAAOAAAAZHJzL2Uyb0RvYy54bWysVEtv2zAMvg/YfxB0X510SR9BnSJr0WFA&#13;&#10;0RZLhp4VWUqMSaImMbGzXz9KdtKs26XDLrZEfnx9JHV13VrDtirEGlzJhycDzpSTUNVuVfJvi7sP&#13;&#10;F5xFFK4SBpwq+U5Ffj19/+6q8RN1CmswlQqMnLg4aXzJ14h+UhRRrpUV8QS8cqTUEKxAuoZVUQXR&#13;&#10;kHdritPB4KxoIFQ+gFQxkvS2U/Jp9q+1kviodVTITMkpN8zfkL/L9C2mV2KyCsKva9mnIf4hCytq&#13;&#10;R0EPrm4FCrYJ9R+ubC0DRNB4IsEWoHUtVa6BqhkOXlUzXwuvci1ETvQHmuL/cysftk+B1VXJx5w5&#13;&#10;YalFC9Ui+wQtGyd2Gh8nBJp7gmFLYuryXh5JmIpudbDpT+Uw0hPPuwO3yZlMRmeDwcVHCiJJNxpf&#13;&#10;no8y+cWLtQ8RPyuwLB1KHqh3mVKxvY9ImRB0D0nBHNzVxuT+GfebgICdROUB6K1TIV3C+YQ7o5KV&#13;&#10;cV+VJgJy3kmQR0/dmMC2goZGSKkc5pKzX0InlKbYbzHs8cm0y+otxgeLHBkcHoxt7SBkll6lXX3f&#13;&#10;p6w7PPF3VHc6Yrts+wYvodpRfwN0+xG9vKupCfci4pMItBDUUlpyfKSPNtCUHPoTZ2sIP/8mT3ia&#13;&#10;U9Jy1tCClTz+2IigODNfHE3w5XBEI8AwX0bj81O6hGPN8ljjNvYGqB1Dek68zMeER7M/6gD2md6C&#13;&#10;WYpKKuEkxS457o832K09vSVSzWYZRDvoBd67uZfJdaI3jdiifRbB93OINMEPsF9FMXk1jh02WTqY&#13;&#10;bRB0nWc1Edyx2hNP+5tHuH9r0gNxfM+olxdx+gsAAP//AwBQSwMEFAAGAAgAAAAhAOZN1GzhAAAA&#13;&#10;DQEAAA8AAABkcnMvZG93bnJldi54bWxMj0FvwjAMhe+T+A+RJ+0GCRWMUpoiNLTrpsE2abfQmLZa&#13;&#10;41RNoN2/n3caF0v2s5/fl29H14or9qHxpGE+UyCQSm8bqjS8H5+nKYgQDVnTekINPxhgW0zucpNZ&#13;&#10;P9AbXg+xEmxCITMa6hi7TMpQ1uhMmPkOibWz752J3PaVtL0Z2Ny1MlHqUTrTEH+oTYdPNZbfh4vT&#13;&#10;8PFy/vpcqNdq75bd4Eclya2l1g/3437DZbcBEXGM/xfwx8D5oeBgJ38hG0SrYZrMeZPnqwUI1pOl&#13;&#10;YsCThnSdgixyeUtR/AIAAP//AwBQSwECLQAUAAYACAAAACEAtoM4kv4AAADhAQAAEwAAAAAAAAAA&#13;&#10;AAAAAAAAAAAAW0NvbnRlbnRfVHlwZXNdLnhtbFBLAQItABQABgAIAAAAIQA4/SH/1gAAAJQBAAAL&#13;&#10;AAAAAAAAAAAAAAAAAC8BAABfcmVscy8ucmVsc1BLAQItABQABgAIAAAAIQBfTjsIdgIAAFkFAAAO&#13;&#10;AAAAAAAAAAAAAAAAAC4CAABkcnMvZTJvRG9jLnhtbFBLAQItABQABgAIAAAAIQDmTdRs4QAAAA0B&#13;&#10;AAAPAAAAAAAAAAAAAAAAANAEAABkcnMvZG93bnJldi54bWxQSwUGAAAAAAQABADzAAAA3gUAAAAA&#13;&#10;" filled="f" stroked="f">
              <v:textbox>
                <w:txbxContent>
                  <w:p w14:paraId="2521030B" w14:textId="060FC0B1" w:rsidR="00E613E3" w:rsidRPr="00CB2021" w:rsidRDefault="00CD60D4">
                    <w:pPr>
                      <w:rPr>
                        <w:rFonts w:ascii="Arial" w:hAnsi="Arial" w:cs="Arial"/>
                        <w:b/>
                        <w:sz w:val="24"/>
                        <w:szCs w:val="24"/>
                      </w:rPr>
                    </w:pPr>
                    <w:r>
                      <w:rPr>
                        <w:rFonts w:ascii="Arial" w:hAnsi="Arial" w:cs="Arial"/>
                        <w:b/>
                        <w:sz w:val="24"/>
                        <w:szCs w:val="24"/>
                      </w:rPr>
                      <w:t xml:space="preserve">Le </w:t>
                    </w:r>
                    <w:proofErr w:type="spellStart"/>
                    <w:r>
                      <w:rPr>
                        <w:rFonts w:ascii="Arial" w:hAnsi="Arial" w:cs="Arial"/>
                        <w:b/>
                        <w:sz w:val="24"/>
                        <w:szCs w:val="24"/>
                      </w:rPr>
                      <w:t>nombre</w:t>
                    </w:r>
                    <w:proofErr w:type="spellEnd"/>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v="urn:schemas-microsoft-com:mac:vml" xmlns:mo="http://schemas.microsoft.com/office/mac/office/2008/main">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rsidRPr="001104B5">
      <w:rPr>
        <w:lang w:val="fr-CA"/>
      </w:rPr>
      <w:tab/>
    </w:r>
    <w:r w:rsidR="00CA2529" w:rsidRPr="001104B5">
      <w:rPr>
        <w:lang w:val="fr-CA"/>
      </w:rPr>
      <w:tab/>
    </w:r>
    <w:r w:rsidR="00CA2529" w:rsidRPr="001104B5">
      <w:rPr>
        <w:lang w:val="fr-CA"/>
      </w:rPr>
      <w:tab/>
    </w:r>
    <w:r w:rsidR="00207CC0" w:rsidRPr="001104B5">
      <w:rPr>
        <w:lang w:val="fr-CA"/>
      </w:rPr>
      <w:tab/>
    </w:r>
    <w:r w:rsidR="00FD2B2E" w:rsidRPr="001104B5">
      <w:rPr>
        <w:lang w:val="fr-CA"/>
      </w:rPr>
      <w:tab/>
    </w:r>
    <w:r w:rsidR="00CD60D4" w:rsidRPr="001104B5">
      <w:rPr>
        <w:rFonts w:ascii="Arial" w:hAnsi="Arial" w:cs="Arial"/>
        <w:b/>
        <w:sz w:val="36"/>
        <w:szCs w:val="36"/>
        <w:lang w:val="fr-CA"/>
      </w:rPr>
      <w:t>Fiche</w:t>
    </w:r>
    <w:r w:rsidR="00E613E3" w:rsidRPr="001104B5">
      <w:rPr>
        <w:rFonts w:ascii="Arial" w:hAnsi="Arial" w:cs="Arial"/>
        <w:b/>
        <w:sz w:val="36"/>
        <w:szCs w:val="36"/>
        <w:lang w:val="fr-CA"/>
      </w:rPr>
      <w:t xml:space="preserve"> </w:t>
    </w:r>
    <w:r w:rsidR="001104B5" w:rsidRPr="001104B5">
      <w:rPr>
        <w:rFonts w:ascii="Arial" w:hAnsi="Arial" w:cs="Arial"/>
        <w:b/>
        <w:sz w:val="36"/>
        <w:szCs w:val="36"/>
        <w:lang w:val="fr-CA"/>
      </w:rPr>
      <w:t>99</w:t>
    </w:r>
    <w:r w:rsidR="00CD60D4" w:rsidRPr="001104B5">
      <w:rPr>
        <w:rFonts w:ascii="Arial" w:hAnsi="Arial" w:cs="Arial"/>
        <w:b/>
        <w:sz w:val="36"/>
        <w:szCs w:val="36"/>
        <w:lang w:val="fr-CA"/>
      </w:rPr>
      <w:t xml:space="preserve"> </w:t>
    </w:r>
    <w:r w:rsidR="00E613E3" w:rsidRPr="001104B5">
      <w:rPr>
        <w:rFonts w:ascii="Arial" w:hAnsi="Arial" w:cs="Arial"/>
        <w:b/>
        <w:sz w:val="36"/>
        <w:szCs w:val="36"/>
        <w:lang w:val="fr-CA"/>
      </w:rPr>
      <w:t xml:space="preserve">: </w:t>
    </w:r>
    <w:r w:rsidR="00CD60D4" w:rsidRPr="001104B5">
      <w:rPr>
        <w:rFonts w:ascii="Arial" w:hAnsi="Arial" w:cs="Arial"/>
        <w:b/>
        <w:sz w:val="36"/>
        <w:szCs w:val="36"/>
        <w:lang w:val="fr-CA"/>
      </w:rPr>
      <w:t>Évaluation de l’activité</w:t>
    </w:r>
    <w:r w:rsidR="00CB2021" w:rsidRPr="001104B5">
      <w:rPr>
        <w:rFonts w:ascii="Arial" w:hAnsi="Arial" w:cs="Arial"/>
        <w:b/>
        <w:sz w:val="36"/>
        <w:szCs w:val="36"/>
        <w:lang w:val="fr-CA"/>
      </w:rPr>
      <w:t xml:space="preserve"> </w:t>
    </w:r>
    <w:r w:rsidR="00B96BAC" w:rsidRPr="001104B5">
      <w:rPr>
        <w:rFonts w:ascii="Arial" w:hAnsi="Arial" w:cs="Arial"/>
        <w:b/>
        <w:sz w:val="36"/>
        <w:szCs w:val="36"/>
        <w:lang w:val="fr-CA"/>
      </w:rPr>
      <w:t>4</w:t>
    </w:r>
    <w:r w:rsidR="001104B5" w:rsidRPr="001104B5">
      <w:rPr>
        <w:rFonts w:ascii="Arial" w:hAnsi="Arial" w:cs="Arial"/>
        <w:b/>
        <w:sz w:val="36"/>
        <w:szCs w:val="36"/>
        <w:lang w:val="fr-CA"/>
      </w:rPr>
      <w:t>1</w:t>
    </w:r>
  </w:p>
  <w:p w14:paraId="4033973E" w14:textId="15680875" w:rsidR="00CA2529" w:rsidRPr="001104B5" w:rsidRDefault="00CD60D4" w:rsidP="00E45E3B">
    <w:pPr>
      <w:ind w:left="2880" w:firstLine="720"/>
      <w:rPr>
        <w:rFonts w:ascii="Arial" w:hAnsi="Arial" w:cs="Arial"/>
        <w:sz w:val="28"/>
        <w:szCs w:val="28"/>
        <w:lang w:val="fr-CA"/>
      </w:rPr>
    </w:pPr>
    <w:r w:rsidRPr="001104B5">
      <w:rPr>
        <w:rFonts w:ascii="Arial" w:hAnsi="Arial" w:cs="Arial"/>
        <w:b/>
        <w:sz w:val="28"/>
        <w:szCs w:val="28"/>
        <w:lang w:val="fr-CA"/>
      </w:rPr>
      <w:t>Estimer l’argent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6553" w14:textId="77777777" w:rsidR="00AF5739" w:rsidRDefault="00AF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68D4"/>
    <w:multiLevelType w:val="hybridMultilevel"/>
    <w:tmpl w:val="95F2FB68"/>
    <w:lvl w:ilvl="0" w:tplc="438E24A8">
      <w:start w:val="5"/>
      <w:numFmt w:val="decimal"/>
      <w:lvlText w:val="%1"/>
      <w:lvlJc w:val="left"/>
      <w:pPr>
        <w:ind w:left="1011" w:hanging="360"/>
      </w:pPr>
      <w:rPr>
        <w:rFonts w:hint="default"/>
      </w:rPr>
    </w:lvl>
    <w:lvl w:ilvl="1" w:tplc="10090019" w:tentative="1">
      <w:start w:val="1"/>
      <w:numFmt w:val="lowerLetter"/>
      <w:lvlText w:val="%2."/>
      <w:lvlJc w:val="left"/>
      <w:pPr>
        <w:ind w:left="1731" w:hanging="360"/>
      </w:pPr>
    </w:lvl>
    <w:lvl w:ilvl="2" w:tplc="1009001B" w:tentative="1">
      <w:start w:val="1"/>
      <w:numFmt w:val="lowerRoman"/>
      <w:lvlText w:val="%3."/>
      <w:lvlJc w:val="right"/>
      <w:pPr>
        <w:ind w:left="2451" w:hanging="180"/>
      </w:pPr>
    </w:lvl>
    <w:lvl w:ilvl="3" w:tplc="1009000F" w:tentative="1">
      <w:start w:val="1"/>
      <w:numFmt w:val="decimal"/>
      <w:lvlText w:val="%4."/>
      <w:lvlJc w:val="left"/>
      <w:pPr>
        <w:ind w:left="3171" w:hanging="360"/>
      </w:pPr>
    </w:lvl>
    <w:lvl w:ilvl="4" w:tplc="10090019" w:tentative="1">
      <w:start w:val="1"/>
      <w:numFmt w:val="lowerLetter"/>
      <w:lvlText w:val="%5."/>
      <w:lvlJc w:val="left"/>
      <w:pPr>
        <w:ind w:left="3891" w:hanging="360"/>
      </w:pPr>
    </w:lvl>
    <w:lvl w:ilvl="5" w:tplc="1009001B" w:tentative="1">
      <w:start w:val="1"/>
      <w:numFmt w:val="lowerRoman"/>
      <w:lvlText w:val="%6."/>
      <w:lvlJc w:val="right"/>
      <w:pPr>
        <w:ind w:left="4611" w:hanging="180"/>
      </w:pPr>
    </w:lvl>
    <w:lvl w:ilvl="6" w:tplc="1009000F" w:tentative="1">
      <w:start w:val="1"/>
      <w:numFmt w:val="decimal"/>
      <w:lvlText w:val="%7."/>
      <w:lvlJc w:val="left"/>
      <w:pPr>
        <w:ind w:left="5331" w:hanging="360"/>
      </w:pPr>
    </w:lvl>
    <w:lvl w:ilvl="7" w:tplc="10090019" w:tentative="1">
      <w:start w:val="1"/>
      <w:numFmt w:val="lowerLetter"/>
      <w:lvlText w:val="%8."/>
      <w:lvlJc w:val="left"/>
      <w:pPr>
        <w:ind w:left="6051" w:hanging="360"/>
      </w:pPr>
    </w:lvl>
    <w:lvl w:ilvl="8" w:tplc="1009001B" w:tentative="1">
      <w:start w:val="1"/>
      <w:numFmt w:val="lowerRoman"/>
      <w:lvlText w:val="%9."/>
      <w:lvlJc w:val="right"/>
      <w:pPr>
        <w:ind w:left="6771" w:hanging="180"/>
      </w:pPr>
    </w:lvl>
  </w:abstractNum>
  <w:abstractNum w:abstractNumId="1" w15:restartNumberingAfterBreak="0">
    <w:nsid w:val="068C6139"/>
    <w:multiLevelType w:val="hybridMultilevel"/>
    <w:tmpl w:val="61C09178"/>
    <w:lvl w:ilvl="0" w:tplc="961296F2">
      <w:start w:val="60"/>
      <w:numFmt w:val="decimal"/>
      <w:lvlText w:val="%1"/>
      <w:lvlJc w:val="left"/>
      <w:pPr>
        <w:ind w:left="651" w:hanging="360"/>
      </w:pPr>
      <w:rPr>
        <w:rFonts w:ascii="Arial" w:hAnsi="Arial" w:cs="Arial" w:hint="default"/>
        <w:color w:val="626365"/>
        <w:sz w:val="19"/>
      </w:rPr>
    </w:lvl>
    <w:lvl w:ilvl="1" w:tplc="10090019" w:tentative="1">
      <w:start w:val="1"/>
      <w:numFmt w:val="lowerLetter"/>
      <w:lvlText w:val="%2."/>
      <w:lvlJc w:val="left"/>
      <w:pPr>
        <w:ind w:left="1371" w:hanging="360"/>
      </w:pPr>
    </w:lvl>
    <w:lvl w:ilvl="2" w:tplc="1009001B" w:tentative="1">
      <w:start w:val="1"/>
      <w:numFmt w:val="lowerRoman"/>
      <w:lvlText w:val="%3."/>
      <w:lvlJc w:val="right"/>
      <w:pPr>
        <w:ind w:left="2091" w:hanging="180"/>
      </w:pPr>
    </w:lvl>
    <w:lvl w:ilvl="3" w:tplc="1009000F" w:tentative="1">
      <w:start w:val="1"/>
      <w:numFmt w:val="decimal"/>
      <w:lvlText w:val="%4."/>
      <w:lvlJc w:val="left"/>
      <w:pPr>
        <w:ind w:left="2811" w:hanging="360"/>
      </w:pPr>
    </w:lvl>
    <w:lvl w:ilvl="4" w:tplc="10090019" w:tentative="1">
      <w:start w:val="1"/>
      <w:numFmt w:val="lowerLetter"/>
      <w:lvlText w:val="%5."/>
      <w:lvlJc w:val="left"/>
      <w:pPr>
        <w:ind w:left="3531" w:hanging="360"/>
      </w:pPr>
    </w:lvl>
    <w:lvl w:ilvl="5" w:tplc="1009001B" w:tentative="1">
      <w:start w:val="1"/>
      <w:numFmt w:val="lowerRoman"/>
      <w:lvlText w:val="%6."/>
      <w:lvlJc w:val="right"/>
      <w:pPr>
        <w:ind w:left="4251" w:hanging="180"/>
      </w:pPr>
    </w:lvl>
    <w:lvl w:ilvl="6" w:tplc="1009000F" w:tentative="1">
      <w:start w:val="1"/>
      <w:numFmt w:val="decimal"/>
      <w:lvlText w:val="%7."/>
      <w:lvlJc w:val="left"/>
      <w:pPr>
        <w:ind w:left="4971" w:hanging="360"/>
      </w:pPr>
    </w:lvl>
    <w:lvl w:ilvl="7" w:tplc="10090019" w:tentative="1">
      <w:start w:val="1"/>
      <w:numFmt w:val="lowerLetter"/>
      <w:lvlText w:val="%8."/>
      <w:lvlJc w:val="left"/>
      <w:pPr>
        <w:ind w:left="5691" w:hanging="360"/>
      </w:pPr>
    </w:lvl>
    <w:lvl w:ilvl="8" w:tplc="1009001B" w:tentative="1">
      <w:start w:val="1"/>
      <w:numFmt w:val="lowerRoman"/>
      <w:lvlText w:val="%9."/>
      <w:lvlJc w:val="right"/>
      <w:pPr>
        <w:ind w:left="6411" w:hanging="180"/>
      </w:pPr>
    </w:lvl>
  </w:abstractNum>
  <w:abstractNum w:abstractNumId="2" w15:restartNumberingAfterBreak="0">
    <w:nsid w:val="1760655F"/>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5755B0"/>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E455AC4"/>
    <w:multiLevelType w:val="hybridMultilevel"/>
    <w:tmpl w:val="1F3EE34E"/>
    <w:lvl w:ilvl="0" w:tplc="73C6DF4C">
      <w:start w:val="5"/>
      <w:numFmt w:val="decimal"/>
      <w:lvlText w:val="%1"/>
      <w:lvlJc w:val="left"/>
      <w:pPr>
        <w:ind w:left="651" w:hanging="360"/>
      </w:pPr>
      <w:rPr>
        <w:rFonts w:hint="default"/>
      </w:rPr>
    </w:lvl>
    <w:lvl w:ilvl="1" w:tplc="10090019" w:tentative="1">
      <w:start w:val="1"/>
      <w:numFmt w:val="lowerLetter"/>
      <w:lvlText w:val="%2."/>
      <w:lvlJc w:val="left"/>
      <w:pPr>
        <w:ind w:left="1371" w:hanging="360"/>
      </w:pPr>
    </w:lvl>
    <w:lvl w:ilvl="2" w:tplc="1009001B" w:tentative="1">
      <w:start w:val="1"/>
      <w:numFmt w:val="lowerRoman"/>
      <w:lvlText w:val="%3."/>
      <w:lvlJc w:val="right"/>
      <w:pPr>
        <w:ind w:left="2091" w:hanging="180"/>
      </w:pPr>
    </w:lvl>
    <w:lvl w:ilvl="3" w:tplc="1009000F" w:tentative="1">
      <w:start w:val="1"/>
      <w:numFmt w:val="decimal"/>
      <w:lvlText w:val="%4."/>
      <w:lvlJc w:val="left"/>
      <w:pPr>
        <w:ind w:left="2811" w:hanging="360"/>
      </w:pPr>
    </w:lvl>
    <w:lvl w:ilvl="4" w:tplc="10090019" w:tentative="1">
      <w:start w:val="1"/>
      <w:numFmt w:val="lowerLetter"/>
      <w:lvlText w:val="%5."/>
      <w:lvlJc w:val="left"/>
      <w:pPr>
        <w:ind w:left="3531" w:hanging="360"/>
      </w:pPr>
    </w:lvl>
    <w:lvl w:ilvl="5" w:tplc="1009001B" w:tentative="1">
      <w:start w:val="1"/>
      <w:numFmt w:val="lowerRoman"/>
      <w:lvlText w:val="%6."/>
      <w:lvlJc w:val="right"/>
      <w:pPr>
        <w:ind w:left="4251" w:hanging="180"/>
      </w:pPr>
    </w:lvl>
    <w:lvl w:ilvl="6" w:tplc="1009000F" w:tentative="1">
      <w:start w:val="1"/>
      <w:numFmt w:val="decimal"/>
      <w:lvlText w:val="%7."/>
      <w:lvlJc w:val="left"/>
      <w:pPr>
        <w:ind w:left="4971" w:hanging="360"/>
      </w:pPr>
    </w:lvl>
    <w:lvl w:ilvl="7" w:tplc="10090019" w:tentative="1">
      <w:start w:val="1"/>
      <w:numFmt w:val="lowerLetter"/>
      <w:lvlText w:val="%8."/>
      <w:lvlJc w:val="left"/>
      <w:pPr>
        <w:ind w:left="5691" w:hanging="360"/>
      </w:pPr>
    </w:lvl>
    <w:lvl w:ilvl="8" w:tplc="1009001B" w:tentative="1">
      <w:start w:val="1"/>
      <w:numFmt w:val="lowerRoman"/>
      <w:lvlText w:val="%9."/>
      <w:lvlJc w:val="right"/>
      <w:pPr>
        <w:ind w:left="6411" w:hanging="180"/>
      </w:pPr>
    </w:lvl>
  </w:abstractNum>
  <w:abstractNum w:abstractNumId="6" w15:restartNumberingAfterBreak="0">
    <w:nsid w:val="6A075F5C"/>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A504D8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46B7A18"/>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9772AD3"/>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6"/>
  </w:num>
  <w:num w:numId="5">
    <w:abstractNumId w:val="2"/>
  </w:num>
  <w:num w:numId="6">
    <w:abstractNumId w:val="9"/>
  </w:num>
  <w:num w:numId="7">
    <w:abstractNumId w:val="1"/>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32FD1"/>
    <w:rsid w:val="00037A56"/>
    <w:rsid w:val="00050E5C"/>
    <w:rsid w:val="00053328"/>
    <w:rsid w:val="000745F7"/>
    <w:rsid w:val="0008174D"/>
    <w:rsid w:val="000834DE"/>
    <w:rsid w:val="00097C8F"/>
    <w:rsid w:val="000C2970"/>
    <w:rsid w:val="000C7349"/>
    <w:rsid w:val="000F43C1"/>
    <w:rsid w:val="001104B5"/>
    <w:rsid w:val="00112FF1"/>
    <w:rsid w:val="001475D4"/>
    <w:rsid w:val="00192706"/>
    <w:rsid w:val="001966EB"/>
    <w:rsid w:val="001A7920"/>
    <w:rsid w:val="001C4E62"/>
    <w:rsid w:val="00207CC0"/>
    <w:rsid w:val="00254851"/>
    <w:rsid w:val="00270D20"/>
    <w:rsid w:val="0028676E"/>
    <w:rsid w:val="00287BBB"/>
    <w:rsid w:val="002A5496"/>
    <w:rsid w:val="002B19A5"/>
    <w:rsid w:val="002C432C"/>
    <w:rsid w:val="002C4CB2"/>
    <w:rsid w:val="002F142C"/>
    <w:rsid w:val="003014A9"/>
    <w:rsid w:val="00345039"/>
    <w:rsid w:val="003D6F5F"/>
    <w:rsid w:val="003E1E38"/>
    <w:rsid w:val="003E65F5"/>
    <w:rsid w:val="003F79B3"/>
    <w:rsid w:val="00426B1A"/>
    <w:rsid w:val="00481400"/>
    <w:rsid w:val="0048276C"/>
    <w:rsid w:val="00483555"/>
    <w:rsid w:val="004959B6"/>
    <w:rsid w:val="004B1CD1"/>
    <w:rsid w:val="00515DF3"/>
    <w:rsid w:val="0052693C"/>
    <w:rsid w:val="00543A9A"/>
    <w:rsid w:val="00581577"/>
    <w:rsid w:val="005B3A77"/>
    <w:rsid w:val="005B7D0F"/>
    <w:rsid w:val="005F751D"/>
    <w:rsid w:val="00661689"/>
    <w:rsid w:val="006827EC"/>
    <w:rsid w:val="00696ABC"/>
    <w:rsid w:val="006B210D"/>
    <w:rsid w:val="006B689F"/>
    <w:rsid w:val="007053FB"/>
    <w:rsid w:val="00741178"/>
    <w:rsid w:val="0076731B"/>
    <w:rsid w:val="007A6B78"/>
    <w:rsid w:val="007E012D"/>
    <w:rsid w:val="00832B16"/>
    <w:rsid w:val="00840C52"/>
    <w:rsid w:val="008F57B5"/>
    <w:rsid w:val="00907EAA"/>
    <w:rsid w:val="0091175D"/>
    <w:rsid w:val="0092323E"/>
    <w:rsid w:val="00943FED"/>
    <w:rsid w:val="00994C77"/>
    <w:rsid w:val="009B6FF8"/>
    <w:rsid w:val="00A20BE1"/>
    <w:rsid w:val="00A43E96"/>
    <w:rsid w:val="00A97B2E"/>
    <w:rsid w:val="00AE494A"/>
    <w:rsid w:val="00AF5739"/>
    <w:rsid w:val="00B21B85"/>
    <w:rsid w:val="00B31C32"/>
    <w:rsid w:val="00B6416C"/>
    <w:rsid w:val="00B67A08"/>
    <w:rsid w:val="00B9593A"/>
    <w:rsid w:val="00B96BAC"/>
    <w:rsid w:val="00BA072D"/>
    <w:rsid w:val="00BA10A4"/>
    <w:rsid w:val="00BB29B8"/>
    <w:rsid w:val="00BD1226"/>
    <w:rsid w:val="00BD5ACB"/>
    <w:rsid w:val="00BE7BA6"/>
    <w:rsid w:val="00BF077A"/>
    <w:rsid w:val="00C25FBC"/>
    <w:rsid w:val="00C72956"/>
    <w:rsid w:val="00C754EB"/>
    <w:rsid w:val="00C841FF"/>
    <w:rsid w:val="00C85AE2"/>
    <w:rsid w:val="00C957B8"/>
    <w:rsid w:val="00CA2529"/>
    <w:rsid w:val="00CB2021"/>
    <w:rsid w:val="00CB2B53"/>
    <w:rsid w:val="00CD2187"/>
    <w:rsid w:val="00CD60D4"/>
    <w:rsid w:val="00CF0C1B"/>
    <w:rsid w:val="00CF3ED1"/>
    <w:rsid w:val="00D212A6"/>
    <w:rsid w:val="00D438F3"/>
    <w:rsid w:val="00D7596A"/>
    <w:rsid w:val="00D826C1"/>
    <w:rsid w:val="00DA1368"/>
    <w:rsid w:val="00DB4EC8"/>
    <w:rsid w:val="00DD6F23"/>
    <w:rsid w:val="00E16179"/>
    <w:rsid w:val="00E21EE5"/>
    <w:rsid w:val="00E45E3B"/>
    <w:rsid w:val="00E519FD"/>
    <w:rsid w:val="00E613E3"/>
    <w:rsid w:val="00E71CBF"/>
    <w:rsid w:val="00E8288E"/>
    <w:rsid w:val="00EE29C2"/>
    <w:rsid w:val="00EE5ADA"/>
    <w:rsid w:val="00F10556"/>
    <w:rsid w:val="00F33D65"/>
    <w:rsid w:val="00F358C6"/>
    <w:rsid w:val="00F86C1E"/>
    <w:rsid w:val="00FC5564"/>
    <w:rsid w:val="00FD2B2E"/>
    <w:rsid w:val="00FE0BBF"/>
    <w:rsid w:val="00FE48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character" w:styleId="CommentReference">
    <w:name w:val="annotation reference"/>
    <w:basedOn w:val="DefaultParagraphFont"/>
    <w:uiPriority w:val="99"/>
    <w:semiHidden/>
    <w:unhideWhenUsed/>
    <w:rsid w:val="000834DE"/>
    <w:rPr>
      <w:sz w:val="18"/>
      <w:szCs w:val="18"/>
    </w:rPr>
  </w:style>
  <w:style w:type="paragraph" w:styleId="CommentText">
    <w:name w:val="annotation text"/>
    <w:basedOn w:val="Normal"/>
    <w:link w:val="CommentTextChar"/>
    <w:uiPriority w:val="99"/>
    <w:semiHidden/>
    <w:unhideWhenUsed/>
    <w:rsid w:val="000834DE"/>
    <w:pPr>
      <w:spacing w:line="240" w:lineRule="auto"/>
    </w:pPr>
    <w:rPr>
      <w:sz w:val="24"/>
      <w:szCs w:val="24"/>
    </w:rPr>
  </w:style>
  <w:style w:type="character" w:customStyle="1" w:styleId="CommentTextChar">
    <w:name w:val="Comment Text Char"/>
    <w:basedOn w:val="DefaultParagraphFont"/>
    <w:link w:val="CommentText"/>
    <w:uiPriority w:val="99"/>
    <w:semiHidden/>
    <w:rsid w:val="000834DE"/>
    <w:rPr>
      <w:sz w:val="24"/>
      <w:szCs w:val="24"/>
    </w:rPr>
  </w:style>
  <w:style w:type="paragraph" w:styleId="CommentSubject">
    <w:name w:val="annotation subject"/>
    <w:basedOn w:val="CommentText"/>
    <w:next w:val="CommentText"/>
    <w:link w:val="CommentSubjectChar"/>
    <w:uiPriority w:val="99"/>
    <w:semiHidden/>
    <w:unhideWhenUsed/>
    <w:rsid w:val="000834DE"/>
    <w:rPr>
      <w:b/>
      <w:bCs/>
      <w:sz w:val="20"/>
      <w:szCs w:val="20"/>
    </w:rPr>
  </w:style>
  <w:style w:type="character" w:customStyle="1" w:styleId="CommentSubjectChar">
    <w:name w:val="Comment Subject Char"/>
    <w:basedOn w:val="CommentTextChar"/>
    <w:link w:val="CommentSubject"/>
    <w:uiPriority w:val="99"/>
    <w:semiHidden/>
    <w:rsid w:val="00083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5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2-14T15:57:00.246"/>
    </inkml:context>
    <inkml:brush xml:id="br0">
      <inkml:brushProperty name="width" value="0.025" units="cm"/>
      <inkml:brushProperty name="height" value="0.025" units="cm"/>
      <inkml:brushProperty name="color" value="#E71224"/>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D1DD91-C75B-C947-BC02-27F15D28FD3F}">
  <ds:schemaRefs>
    <ds:schemaRef ds:uri="http://schemas.openxmlformats.org/officeDocument/2006/bibliography"/>
  </ds:schemaRefs>
</ds:datastoreItem>
</file>

<file path=customXml/itemProps2.xml><?xml version="1.0" encoding="utf-8"?>
<ds:datastoreItem xmlns:ds="http://schemas.openxmlformats.org/officeDocument/2006/customXml" ds:itemID="{588CCE78-06B4-4776-873E-65EA0AAC6B41}"/>
</file>

<file path=customXml/itemProps3.xml><?xml version="1.0" encoding="utf-8"?>
<ds:datastoreItem xmlns:ds="http://schemas.openxmlformats.org/officeDocument/2006/customXml" ds:itemID="{4F7FB572-3C9C-4C95-A5FA-8D6368FA2FAD}"/>
</file>

<file path=customXml/itemProps4.xml><?xml version="1.0" encoding="utf-8"?>
<ds:datastoreItem xmlns:ds="http://schemas.openxmlformats.org/officeDocument/2006/customXml" ds:itemID="{5763C0A9-0F44-46CC-BE2B-9FC57A5AAE1F}"/>
</file>

<file path=docProps/app.xml><?xml version="1.0" encoding="utf-8"?>
<Properties xmlns="http://schemas.openxmlformats.org/officeDocument/2006/extended-properties" xmlns:vt="http://schemas.openxmlformats.org/officeDocument/2006/docPropsVTypes">
  <Template>Normal.dotm</Template>
  <TotalTime>61</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27</cp:revision>
  <cp:lastPrinted>2022-07-04T02:43:00Z</cp:lastPrinted>
  <dcterms:created xsi:type="dcterms:W3CDTF">2021-12-09T18:10:00Z</dcterms:created>
  <dcterms:modified xsi:type="dcterms:W3CDTF">2023-03-31T21:53:00Z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