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77410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72BA7DD" w:rsidR="002F142C" w:rsidRPr="00963FBF" w:rsidRDefault="00963FB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 sens des opérations</w:t>
            </w:r>
          </w:p>
        </w:tc>
      </w:tr>
      <w:tr w:rsidR="002F142C" w:rsidRPr="00963FBF" w14:paraId="76008433" w14:textId="055E6395" w:rsidTr="00302F9C">
        <w:trPr>
          <w:trHeight w:hRule="exact" w:val="21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EC9D" w14:textId="52BD4474" w:rsidR="00302F9C" w:rsidRPr="00963FBF" w:rsidRDefault="00963FBF" w:rsidP="00963FBF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pas utiliser des symboles ou des équations pour représenter une situation d’addition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47676DA" w:rsidR="002F142C" w:rsidRPr="00963FBF" w:rsidRDefault="00963FBF" w:rsidP="00963FBF">
            <w:pPr>
              <w:pStyle w:val="Pa6"/>
              <w:spacing w:before="120"/>
              <w:ind w:left="272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comment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phrase d’</w:t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addition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un domino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86718" w14:textId="1362D14A" w:rsidR="00302F9C" w:rsidRPr="00963FBF" w:rsidRDefault="000A143E" w:rsidP="00302F9C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des </w:t>
            </w:r>
          </w:p>
          <w:p w14:paraId="1678069F" w14:textId="0AE149D5" w:rsidR="00302F9C" w:rsidRPr="00963FBF" w:rsidRDefault="000A143E" w:rsidP="00302F9C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situations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d’addition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5A2C1D4" w14:textId="5103CAC4" w:rsidR="00302F9C" w:rsidRPr="00963FBF" w:rsidRDefault="000A143E" w:rsidP="00302F9C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symboles et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équations,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74E0FDB" w14:textId="1986949A" w:rsidR="00481400" w:rsidRPr="00963FBF" w:rsidRDefault="0065021E" w:rsidP="00302F9C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6AA4334C" wp14:editId="274DB597">
                  <wp:simplePos x="0" y="0"/>
                  <wp:positionH relativeFrom="column">
                    <wp:posOffset>141234</wp:posOffset>
                  </wp:positionH>
                  <wp:positionV relativeFrom="paragraph">
                    <wp:posOffset>303151</wp:posOffset>
                  </wp:positionV>
                  <wp:extent cx="1650365" cy="570230"/>
                  <wp:effectExtent l="0" t="0" r="6985" b="1270"/>
                  <wp:wrapSquare wrapText="bothSides"/>
                  <wp:docPr id="10" name="Picture 10" descr="C:\Users\voberme\AppData\Local\Microsoft\Windows\INetCache\Content.Word\fg01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43E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quand un des termes est zéro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EB0C482" w:rsidR="00302F9C" w:rsidRPr="00963FBF" w:rsidRDefault="00302F9C" w:rsidP="00596463">
            <w:pPr>
              <w:pStyle w:val="Pa6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04309" w14:textId="2893F782" w:rsidR="00302F9C" w:rsidRPr="000A143E" w:rsidRDefault="000A143E" w:rsidP="000A143E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une situation d’addition avec des symboles et des équations, mais n’utilise pas la commutativité pour la représenter d’une autre façon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15CE961" w:rsidR="00481400" w:rsidRPr="00963FBF" w:rsidRDefault="000A143E" w:rsidP="000A143E">
            <w:pPr>
              <w:pStyle w:val="Pa6"/>
              <w:spacing w:before="120"/>
              <w:ind w:left="274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 + 4 = 7.</w:t>
            </w:r>
            <w:r w:rsidR="00CF43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connais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une autre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95A8B" w14:textId="193C2048" w:rsidR="00302F9C" w:rsidRPr="000A143E" w:rsidRDefault="000A143E" w:rsidP="000A143E">
            <w:pPr>
              <w:pStyle w:val="Pa6"/>
              <w:numPr>
                <w:ilvl w:val="0"/>
                <w:numId w:val="4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des situations d’addition et de soustraction avec des symboles et des équations, et démontre sa compréhension de la commutativité et de la propriété de zéro</w:t>
            </w:r>
            <w:r w:rsidR="00302F9C" w:rsidRPr="000A1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F36B33" w14:textId="77777777" w:rsidR="00302F9C" w:rsidRPr="00963FBF" w:rsidRDefault="00302F9C" w:rsidP="00302F9C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+ 0 = 7</w:t>
            </w:r>
          </w:p>
          <w:p w14:paraId="0164622A" w14:textId="77777777" w:rsidR="00302F9C" w:rsidRPr="00963FBF" w:rsidRDefault="00302F9C" w:rsidP="00302F9C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 + 7 = 7</w:t>
            </w:r>
          </w:p>
          <w:p w14:paraId="111EFC49" w14:textId="30B6BAC9" w:rsidR="00481400" w:rsidRPr="00963FBF" w:rsidRDefault="00302F9C" w:rsidP="00302F9C">
            <w:pPr>
              <w:pStyle w:val="Pa6"/>
              <w:ind w:left="271"/>
              <w:jc w:val="center"/>
              <w:rPr>
                <w:lang w:val="fr-FR"/>
              </w:rPr>
            </w:pPr>
            <w:r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– 0 = 7</w:t>
            </w:r>
          </w:p>
        </w:tc>
      </w:tr>
      <w:tr w:rsidR="002F142C" w:rsidRPr="00963FBF" w14:paraId="01BA3F47" w14:textId="6CC135FD" w:rsidTr="00B62808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3190F1E" w:rsidR="002F142C" w:rsidRPr="00963FBF" w:rsidRDefault="002F142C" w:rsidP="000A143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06EBD03A" w14:textId="1A34967F" w:rsidTr="00296624">
        <w:trPr>
          <w:trHeight w:val="147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963FBF" w14:paraId="0D590949" w14:textId="7A8C382E" w:rsidTr="00296624">
        <w:trPr>
          <w:trHeight w:hRule="exact" w:val="188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963FBF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963FBF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E26CB4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427D75D" w:rsidR="002F142C" w:rsidRPr="00963FBF" w:rsidRDefault="000A143E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 w:rsidR="00C064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calcul mental et méthodes de calcul</w:t>
            </w:r>
          </w:p>
        </w:tc>
      </w:tr>
      <w:tr w:rsidR="002F142C" w:rsidRPr="00E26CB4" w14:paraId="72AC45F2" w14:textId="68EB8330" w:rsidTr="00383582">
        <w:trPr>
          <w:trHeight w:hRule="exact" w:val="216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5C490" w14:textId="61700BF0" w:rsidR="00302F9C" w:rsidRPr="00B62808" w:rsidRDefault="00B62808" w:rsidP="00B62808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3 fois pour additionner des quantités (afin 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628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trouver le nombre total de points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2286F32C" w:rsidR="00302F9C" w:rsidRPr="00963FBF" w:rsidRDefault="00E520DF" w:rsidP="00596463">
            <w:pPr>
              <w:pStyle w:val="Pa6"/>
              <w:ind w:left="7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8194F6E" wp14:editId="587C0C17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1163955" cy="724535"/>
                  <wp:effectExtent l="0" t="0" r="0" b="0"/>
                  <wp:wrapSquare wrapText="bothSides"/>
                  <wp:docPr id="11" name="Picture 11" descr="C:\Users\voberme\AppData\Local\Microsoft\Windows\INetCache\Content.Word\fg02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CD19B2" w14:textId="3E0AECBE" w:rsidR="00481400" w:rsidRPr="005F17DD" w:rsidRDefault="005F17DD" w:rsidP="005F17DD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nombre pour additionner des quantités</w:t>
            </w:r>
            <w:r w:rsidR="00302F9C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9BE53A2" w:rsidR="00302F9C" w:rsidRPr="00963FBF" w:rsidRDefault="00E520DF" w:rsidP="00596463">
            <w:pPr>
              <w:pStyle w:val="Pa6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FF9AA87" wp14:editId="2FB1480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172596</wp:posOffset>
                  </wp:positionV>
                  <wp:extent cx="1080770" cy="581660"/>
                  <wp:effectExtent l="0" t="0" r="5080" b="8890"/>
                  <wp:wrapSquare wrapText="bothSides"/>
                  <wp:docPr id="12" name="Picture 12" descr="C:\Users\voberme\AppData\Local\Microsoft\Windows\INetCache\Content.Word\fg03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0F4DA" w14:textId="1420874A" w:rsidR="002F142C" w:rsidRPr="00963FBF" w:rsidRDefault="00E520DF" w:rsidP="00302F9C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4AF935D" wp14:editId="373EB33A">
                  <wp:simplePos x="0" y="0"/>
                  <wp:positionH relativeFrom="column">
                    <wp:posOffset>-72646</wp:posOffset>
                  </wp:positionH>
                  <wp:positionV relativeFrom="paragraph">
                    <wp:posOffset>577099</wp:posOffset>
                  </wp:positionV>
                  <wp:extent cx="2106000" cy="565200"/>
                  <wp:effectExtent l="0" t="0" r="2540" b="0"/>
                  <wp:wrapSquare wrapText="bothSides"/>
                  <wp:docPr id="13" name="Picture 13" descr="C:\Users\voberme\AppData\Local\Microsoft\Windows\INetCache\Content.Word\fg04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0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 fait connu, des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doubles ou compte par bonds pour</w:t>
            </w:r>
            <w:r w:rsid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F17DD" w:rsidRPr="005F17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des quantités</w:t>
            </w:r>
            <w:r w:rsidR="00302F9C" w:rsidRPr="00963FB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6343646" w:rsidR="00302F9C" w:rsidRPr="00963FBF" w:rsidRDefault="00302F9C" w:rsidP="00596463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712E7F" w14:textId="79A2AAAC" w:rsidR="002F142C" w:rsidRPr="00383582" w:rsidRDefault="00383582" w:rsidP="00383582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10 avec aisance</w:t>
            </w:r>
            <w:r w:rsidR="00302F9C" w:rsidRPr="0038358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4A7D3" w14:textId="1A6F3D77" w:rsidR="00302F9C" w:rsidRPr="00963FBF" w:rsidRDefault="00E520DF" w:rsidP="00596463">
            <w:pPr>
              <w:pStyle w:val="Pa6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F16EE55" wp14:editId="290ED30C">
                  <wp:simplePos x="0" y="0"/>
                  <wp:positionH relativeFrom="column">
                    <wp:posOffset>296883</wp:posOffset>
                  </wp:positionH>
                  <wp:positionV relativeFrom="paragraph">
                    <wp:posOffset>149299</wp:posOffset>
                  </wp:positionV>
                  <wp:extent cx="1318260" cy="581660"/>
                  <wp:effectExtent l="0" t="0" r="0" b="8890"/>
                  <wp:wrapSquare wrapText="bothSides"/>
                  <wp:docPr id="14" name="Picture 14" descr="C:\Users\voberme\AppData\Local\Microsoft\Windows\INetCache\Content.Word\fg05_n06_a3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oberme\AppData\Local\Microsoft\Windows\INetCache\Content.Word\fg05_n06_a3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142C" w:rsidRPr="00963FBF" w14:paraId="2990543E" w14:textId="697705E4" w:rsidTr="00B62808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5B32477" w:rsidR="002F142C" w:rsidRPr="00963FBF" w:rsidRDefault="002F142C" w:rsidP="000A143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A143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63FB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963FBF" w14:paraId="2FDA25CD" w14:textId="63F00DFD" w:rsidTr="00296624">
        <w:trPr>
          <w:trHeight w:val="1577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963FBF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963FB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963FB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963FB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33E62A5F" w:rsidR="00F10556" w:rsidRPr="00963FBF" w:rsidRDefault="00F10556" w:rsidP="002F142C">
      <w:pPr>
        <w:ind w:right="582"/>
        <w:rPr>
          <w:lang w:val="fr-FR"/>
        </w:rPr>
      </w:pPr>
    </w:p>
    <w:sectPr w:rsidR="00F10556" w:rsidRPr="00963FBF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12762" w14:textId="77777777" w:rsidR="001E2FF8" w:rsidRDefault="001E2FF8" w:rsidP="00CA2529">
      <w:pPr>
        <w:spacing w:after="0" w:line="240" w:lineRule="auto"/>
      </w:pPr>
      <w:r>
        <w:separator/>
      </w:r>
    </w:p>
  </w:endnote>
  <w:endnote w:type="continuationSeparator" w:id="0">
    <w:p w14:paraId="6D2BAB63" w14:textId="77777777" w:rsidR="001E2FF8" w:rsidRDefault="001E2F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A12E1" w14:textId="77777777" w:rsidR="0077410A" w:rsidRDefault="00774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8F9E41E" w:rsidR="00B62808" w:rsidRPr="00E26CB4" w:rsidRDefault="00B6280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26CB4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E26CB4">
      <w:rPr>
        <w:rFonts w:ascii="Arial" w:hAnsi="Arial" w:cs="Arial"/>
        <w:b/>
        <w:sz w:val="15"/>
        <w:szCs w:val="15"/>
        <w:lang w:val="fr-CA"/>
      </w:rPr>
      <w:t xml:space="preserve"> 2</w:t>
    </w:r>
    <w:r w:rsidR="00E26CB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26CB4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E26CB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6CB4">
      <w:rPr>
        <w:rFonts w:ascii="Arial" w:hAnsi="Arial" w:cs="Arial"/>
        <w:sz w:val="15"/>
        <w:szCs w:val="15"/>
        <w:lang w:val="fr-CA"/>
      </w:rPr>
      <w:t xml:space="preserve"> Copyright © 20</w:t>
    </w:r>
    <w:r w:rsidR="00DD6E84" w:rsidRPr="00E26CB4">
      <w:rPr>
        <w:rFonts w:ascii="Arial" w:hAnsi="Arial" w:cs="Arial"/>
        <w:sz w:val="15"/>
        <w:szCs w:val="15"/>
        <w:lang w:val="fr-CA"/>
      </w:rPr>
      <w:t>2</w:t>
    </w:r>
    <w:r w:rsidR="0037561D">
      <w:rPr>
        <w:rFonts w:ascii="Arial" w:hAnsi="Arial" w:cs="Arial"/>
        <w:sz w:val="15"/>
        <w:szCs w:val="15"/>
        <w:lang w:val="fr-CA"/>
      </w:rPr>
      <w:t>4</w:t>
    </w:r>
    <w:r w:rsidRPr="00E26CB4">
      <w:rPr>
        <w:rFonts w:ascii="Arial" w:hAnsi="Arial" w:cs="Arial"/>
        <w:sz w:val="15"/>
        <w:szCs w:val="15"/>
        <w:lang w:val="fr-CA"/>
      </w:rPr>
      <w:t xml:space="preserve"> Pearson Canada Inc.</w:t>
    </w:r>
    <w:r w:rsidRPr="00E26CB4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155C" w14:textId="77777777" w:rsidR="0077410A" w:rsidRDefault="0077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4398C" w14:textId="77777777" w:rsidR="001E2FF8" w:rsidRDefault="001E2FF8" w:rsidP="00CA2529">
      <w:pPr>
        <w:spacing w:after="0" w:line="240" w:lineRule="auto"/>
      </w:pPr>
      <w:r>
        <w:separator/>
      </w:r>
    </w:p>
  </w:footnote>
  <w:footnote w:type="continuationSeparator" w:id="0">
    <w:p w14:paraId="59194CEF" w14:textId="77777777" w:rsidR="001E2FF8" w:rsidRDefault="001E2F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4F98D" w14:textId="77777777" w:rsidR="0077410A" w:rsidRDefault="00774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C321AD4" w:rsidR="00B62808" w:rsidRPr="00CE3420" w:rsidRDefault="00B6280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11A583" w:rsidR="00B62808" w:rsidRPr="00CB2021" w:rsidRDefault="00B628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B11A583" w:rsidR="00B62808" w:rsidRPr="00CB2021" w:rsidRDefault="00B628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7DC7F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CE342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923AE7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lang w:val="fr-FR"/>
      </w:rPr>
      <w:tab/>
    </w:r>
    <w:r w:rsidRPr="00CE3420">
      <w:rPr>
        <w:rFonts w:ascii="Arial" w:hAnsi="Arial" w:cs="Arial"/>
        <w:b/>
        <w:sz w:val="36"/>
        <w:szCs w:val="36"/>
        <w:lang w:val="fr-FR"/>
      </w:rPr>
      <w:t xml:space="preserve">Fiche </w:t>
    </w:r>
    <w:r w:rsidR="00E26CB4">
      <w:rPr>
        <w:rFonts w:ascii="Arial" w:hAnsi="Arial" w:cs="Arial"/>
        <w:b/>
        <w:sz w:val="36"/>
        <w:szCs w:val="36"/>
        <w:lang w:val="fr-FR"/>
      </w:rPr>
      <w:t>64</w:t>
    </w:r>
    <w:r w:rsidRPr="00CE3420">
      <w:rPr>
        <w:rFonts w:ascii="Arial" w:hAnsi="Arial" w:cs="Arial"/>
        <w:b/>
        <w:sz w:val="36"/>
        <w:szCs w:val="36"/>
        <w:lang w:val="fr-FR"/>
      </w:rPr>
      <w:t> : Évaluation de l’activité 26</w:t>
    </w:r>
  </w:p>
  <w:p w14:paraId="4033973E" w14:textId="11503EB9" w:rsidR="00B62808" w:rsidRPr="00CE3420" w:rsidRDefault="00B6280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E3420">
      <w:rPr>
        <w:rFonts w:ascii="Arial" w:hAnsi="Arial" w:cs="Arial"/>
        <w:b/>
        <w:sz w:val="28"/>
        <w:szCs w:val="28"/>
        <w:lang w:val="fr-FR"/>
      </w:rPr>
      <w:t>Examiner les propriétés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45B3" w14:textId="77777777" w:rsidR="0077410A" w:rsidRDefault="00774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A143E"/>
    <w:rsid w:val="000C2970"/>
    <w:rsid w:val="000C7349"/>
    <w:rsid w:val="000F43C1"/>
    <w:rsid w:val="00112FF1"/>
    <w:rsid w:val="0016516C"/>
    <w:rsid w:val="00192706"/>
    <w:rsid w:val="00193B2E"/>
    <w:rsid w:val="001A7920"/>
    <w:rsid w:val="001E2FF8"/>
    <w:rsid w:val="00207CC0"/>
    <w:rsid w:val="00221B59"/>
    <w:rsid w:val="00227BEB"/>
    <w:rsid w:val="00254851"/>
    <w:rsid w:val="00270D20"/>
    <w:rsid w:val="0028676E"/>
    <w:rsid w:val="00296624"/>
    <w:rsid w:val="002B19A5"/>
    <w:rsid w:val="002C432C"/>
    <w:rsid w:val="002C4CB2"/>
    <w:rsid w:val="002D3263"/>
    <w:rsid w:val="002F142C"/>
    <w:rsid w:val="002F547B"/>
    <w:rsid w:val="003014A9"/>
    <w:rsid w:val="00302F9C"/>
    <w:rsid w:val="00303F20"/>
    <w:rsid w:val="00345039"/>
    <w:rsid w:val="0037561D"/>
    <w:rsid w:val="00383582"/>
    <w:rsid w:val="003F79B3"/>
    <w:rsid w:val="00481400"/>
    <w:rsid w:val="00483555"/>
    <w:rsid w:val="004959B6"/>
    <w:rsid w:val="0052693C"/>
    <w:rsid w:val="00543A9A"/>
    <w:rsid w:val="00581577"/>
    <w:rsid w:val="00596463"/>
    <w:rsid w:val="005B3A77"/>
    <w:rsid w:val="005B7D0F"/>
    <w:rsid w:val="005F17DD"/>
    <w:rsid w:val="0065021E"/>
    <w:rsid w:val="00661689"/>
    <w:rsid w:val="00696ABC"/>
    <w:rsid w:val="006B210D"/>
    <w:rsid w:val="00741178"/>
    <w:rsid w:val="0076731B"/>
    <w:rsid w:val="0077410A"/>
    <w:rsid w:val="007A6B78"/>
    <w:rsid w:val="00832B16"/>
    <w:rsid w:val="008D48BC"/>
    <w:rsid w:val="0091713E"/>
    <w:rsid w:val="0092323E"/>
    <w:rsid w:val="00963FBF"/>
    <w:rsid w:val="00994C77"/>
    <w:rsid w:val="009B6FF8"/>
    <w:rsid w:val="00A20BE1"/>
    <w:rsid w:val="00A43E96"/>
    <w:rsid w:val="00AE494A"/>
    <w:rsid w:val="00B60389"/>
    <w:rsid w:val="00B62808"/>
    <w:rsid w:val="00B9593A"/>
    <w:rsid w:val="00BA072D"/>
    <w:rsid w:val="00BA10A4"/>
    <w:rsid w:val="00BA70A2"/>
    <w:rsid w:val="00BC5ABD"/>
    <w:rsid w:val="00BD5ACB"/>
    <w:rsid w:val="00BE7BA6"/>
    <w:rsid w:val="00C06426"/>
    <w:rsid w:val="00C72956"/>
    <w:rsid w:val="00C85AE2"/>
    <w:rsid w:val="00C957B8"/>
    <w:rsid w:val="00CA2529"/>
    <w:rsid w:val="00CB2021"/>
    <w:rsid w:val="00CD2187"/>
    <w:rsid w:val="00CE3420"/>
    <w:rsid w:val="00CF3ED1"/>
    <w:rsid w:val="00CF43F7"/>
    <w:rsid w:val="00D7596A"/>
    <w:rsid w:val="00DA1368"/>
    <w:rsid w:val="00DB4EC8"/>
    <w:rsid w:val="00DD6E84"/>
    <w:rsid w:val="00DD6F23"/>
    <w:rsid w:val="00E16179"/>
    <w:rsid w:val="00E21EE5"/>
    <w:rsid w:val="00E26CB4"/>
    <w:rsid w:val="00E45E3B"/>
    <w:rsid w:val="00E520DF"/>
    <w:rsid w:val="00E613E3"/>
    <w:rsid w:val="00E71CBF"/>
    <w:rsid w:val="00EB687E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966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0426E-361D-2244-84DA-1FCAB5B5D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F1359-EF2C-4571-9A4B-5823DD3950B9}"/>
</file>

<file path=customXml/itemProps3.xml><?xml version="1.0" encoding="utf-8"?>
<ds:datastoreItem xmlns:ds="http://schemas.openxmlformats.org/officeDocument/2006/customXml" ds:itemID="{A1067392-BE94-42E7-BBF0-C9EEAE12FB29}"/>
</file>

<file path=customXml/itemProps4.xml><?xml version="1.0" encoding="utf-8"?>
<ds:datastoreItem xmlns:ds="http://schemas.openxmlformats.org/officeDocument/2006/customXml" ds:itemID="{CBA692A8-E07B-4929-AD3E-DBB3E2455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2016-08-23T12:28:00Z</cp:lastPrinted>
  <dcterms:created xsi:type="dcterms:W3CDTF">2018-06-27T13:44:00Z</dcterms:created>
  <dcterms:modified xsi:type="dcterms:W3CDTF">2023-04-03T12:47:00Z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