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46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346"/>
      </w:tblGrid>
      <w:tr w:rsidR="00C8060C" w:rsidRPr="00A11B5C" w:rsidTr="00A20EBD">
        <w:tc>
          <w:tcPr>
            <w:tcW w:w="12346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A714A9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A714A9">
              <w:rPr>
                <w:rFonts w:ascii="Arial" w:hAnsi="Arial" w:cs="Arial"/>
                <w:b/>
                <w:sz w:val="30"/>
                <w:szCs w:val="30"/>
                <w:lang w:val="fr-CA"/>
              </w:rPr>
              <w:t>20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Je </w:t>
            </w:r>
            <w:r w:rsidR="00A714A9">
              <w:rPr>
                <w:rFonts w:ascii="Arial" w:hAnsi="Arial" w:cs="Arial"/>
                <w:b/>
                <w:sz w:val="30"/>
                <w:szCs w:val="30"/>
                <w:lang w:val="fr-CA"/>
              </w:rPr>
              <w:t>fais des inférences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A20EBD">
      <w:pPr>
        <w:pStyle w:val="Default"/>
        <w:ind w:firstLine="378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2C41D3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-3165792</wp:posOffset>
                </wp:positionH>
                <wp:positionV relativeFrom="paragraph">
                  <wp:posOffset>2252661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90267225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2C41D3" w:rsidP="00A20EBD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8049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64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FC2A3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L’art métis : la broderie perlée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 w:rsidR="00FC2A3E">
                                  <w:rPr>
                                    <w:rFonts w:ascii="Arial" w:eastAsia="Times" w:hAnsi="Arial" w:cs="Arial"/>
                                    <w:sz w:val="15"/>
                                    <w:szCs w:val="15"/>
                                  </w:rPr>
                                  <w:t>20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29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9.25pt;margin-top:177.35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" filled="f" stroked="f">
                <v:textbox>
                  <w:txbxContent>
                    <w:sdt>
                      <w:sdtPr>
                        <w:id w:val="-1902672257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2C41D3" w:rsidP="00A20EBD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8049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64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2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FC2A3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L’art métis : la broderie perlée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 w:rsidR="00FC2A3E">
                            <w:rPr>
                              <w:rFonts w:ascii="Arial" w:eastAsia="Times" w:hAnsi="Arial" w:cs="Arial"/>
                              <w:sz w:val="15"/>
                              <w:szCs w:val="15"/>
                            </w:rPr>
                            <w:t>20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29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332" w:type="dxa"/>
        <w:tblInd w:w="3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030"/>
        <w:gridCol w:w="2212"/>
        <w:gridCol w:w="1911"/>
        <w:gridCol w:w="1912"/>
        <w:gridCol w:w="4267"/>
      </w:tblGrid>
      <w:tr w:rsidR="006B256B" w:rsidTr="00A20EBD">
        <w:tc>
          <w:tcPr>
            <w:tcW w:w="2030" w:type="dxa"/>
            <w:vMerge w:val="restart"/>
          </w:tcPr>
          <w:p w:rsidR="006B256B" w:rsidRPr="00420A7F" w:rsidRDefault="006B256B" w:rsidP="00A714A9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 questions</w:t>
            </w:r>
          </w:p>
        </w:tc>
        <w:tc>
          <w:tcPr>
            <w:tcW w:w="2212" w:type="dxa"/>
            <w:vMerge w:val="restart"/>
          </w:tcPr>
          <w:p w:rsidR="006B256B" w:rsidRPr="00420A7F" w:rsidRDefault="006B256B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 que je sais</w:t>
            </w:r>
          </w:p>
        </w:tc>
        <w:tc>
          <w:tcPr>
            <w:tcW w:w="3823" w:type="dxa"/>
            <w:gridSpan w:val="2"/>
          </w:tcPr>
          <w:p w:rsidR="006B256B" w:rsidRPr="00420A7F" w:rsidRDefault="006B256B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 indices</w:t>
            </w:r>
          </w:p>
        </w:tc>
        <w:tc>
          <w:tcPr>
            <w:tcW w:w="4267" w:type="dxa"/>
            <w:vMerge w:val="restart"/>
          </w:tcPr>
          <w:p w:rsidR="006B256B" w:rsidRPr="00420A7F" w:rsidRDefault="006B256B" w:rsidP="006D6DF1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 inférences</w:t>
            </w:r>
          </w:p>
        </w:tc>
      </w:tr>
      <w:tr w:rsidR="006B256B" w:rsidTr="00CA0408">
        <w:trPr>
          <w:trHeight w:val="453"/>
        </w:trPr>
        <w:tc>
          <w:tcPr>
            <w:tcW w:w="2030" w:type="dxa"/>
            <w:vMerge/>
            <w:vAlign w:val="center"/>
          </w:tcPr>
          <w:p w:rsidR="006B256B" w:rsidRDefault="006B256B" w:rsidP="00A714A9"/>
        </w:tc>
        <w:tc>
          <w:tcPr>
            <w:tcW w:w="2212" w:type="dxa"/>
            <w:vMerge/>
          </w:tcPr>
          <w:p w:rsidR="006B256B" w:rsidRPr="00420A7F" w:rsidRDefault="006B256B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1" w:type="dxa"/>
          </w:tcPr>
          <w:p w:rsidR="006B256B" w:rsidRPr="006B256B" w:rsidRDefault="006B256B" w:rsidP="006B256B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 w:rsidRPr="006B256B">
              <w:rPr>
                <w:rFonts w:ascii="Arial" w:hAnsi="Arial" w:cs="Arial"/>
                <w:b/>
              </w:rPr>
              <w:t>des images</w:t>
            </w:r>
          </w:p>
        </w:tc>
        <w:tc>
          <w:tcPr>
            <w:tcW w:w="1912" w:type="dxa"/>
          </w:tcPr>
          <w:p w:rsidR="006B256B" w:rsidRPr="006B256B" w:rsidRDefault="006B256B" w:rsidP="006B256B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 w:rsidRPr="006B256B">
              <w:rPr>
                <w:rFonts w:ascii="Arial" w:hAnsi="Arial" w:cs="Arial"/>
                <w:b/>
              </w:rPr>
              <w:t>du texte</w:t>
            </w:r>
          </w:p>
        </w:tc>
        <w:tc>
          <w:tcPr>
            <w:tcW w:w="4267" w:type="dxa"/>
            <w:vMerge/>
          </w:tcPr>
          <w:p w:rsidR="006B256B" w:rsidRPr="00420A7F" w:rsidRDefault="006B256B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68099D" w:rsidTr="00CA0408">
        <w:trPr>
          <w:trHeight w:val="2120"/>
        </w:trPr>
        <w:tc>
          <w:tcPr>
            <w:tcW w:w="2030" w:type="dxa"/>
            <w:vAlign w:val="center"/>
          </w:tcPr>
          <w:p w:rsidR="0068099D" w:rsidRPr="0029256D" w:rsidRDefault="0068099D" w:rsidP="002925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256D">
              <w:rPr>
                <w:rFonts w:ascii="Arial" w:hAnsi="Arial" w:cs="Arial"/>
                <w:b/>
                <w:sz w:val="20"/>
                <w:szCs w:val="20"/>
              </w:rPr>
              <w:t>pages 4 à 7</w:t>
            </w:r>
          </w:p>
          <w:p w:rsidR="0068099D" w:rsidRPr="0029256D" w:rsidRDefault="0068099D" w:rsidP="0029256D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29256D">
              <w:rPr>
                <w:rFonts w:ascii="Arial" w:hAnsi="Arial" w:cs="Arial"/>
                <w:sz w:val="20"/>
                <w:szCs w:val="20"/>
              </w:rPr>
              <w:t>Qu’est-ce que ces objets m’apprennent au sujet de la broderie perlée</w:t>
            </w:r>
            <w:r w:rsidR="0029256D" w:rsidRPr="002925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56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212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1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2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4267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68099D" w:rsidTr="00CA0408">
        <w:trPr>
          <w:trHeight w:val="2120"/>
        </w:trPr>
        <w:tc>
          <w:tcPr>
            <w:tcW w:w="2030" w:type="dxa"/>
            <w:vAlign w:val="center"/>
          </w:tcPr>
          <w:p w:rsidR="0068099D" w:rsidRPr="0029256D" w:rsidRDefault="0068099D" w:rsidP="002925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256D">
              <w:rPr>
                <w:rFonts w:ascii="Arial" w:hAnsi="Arial" w:cs="Arial"/>
                <w:b/>
                <w:sz w:val="20"/>
                <w:szCs w:val="20"/>
              </w:rPr>
              <w:t>pages 8 et 9</w:t>
            </w:r>
          </w:p>
          <w:p w:rsidR="0068099D" w:rsidRPr="0029256D" w:rsidRDefault="0068099D" w:rsidP="0029256D">
            <w:pPr>
              <w:spacing w:before="80" w:after="80"/>
              <w:rPr>
                <w:rFonts w:ascii="Arial" w:hAnsi="Arial" w:cs="Arial"/>
                <w:sz w:val="20"/>
                <w:szCs w:val="20"/>
              </w:rPr>
            </w:pPr>
            <w:r w:rsidRPr="0029256D">
              <w:rPr>
                <w:rFonts w:ascii="Arial" w:hAnsi="Arial" w:cs="Arial"/>
                <w:sz w:val="20"/>
                <w:szCs w:val="20"/>
              </w:rPr>
              <w:t>Comment puis-je reconnaître l’art métis</w:t>
            </w:r>
            <w:r w:rsidR="0029256D" w:rsidRPr="0029256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256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2212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1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2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4267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68099D" w:rsidTr="00CA0408">
        <w:trPr>
          <w:trHeight w:val="2069"/>
        </w:trPr>
        <w:tc>
          <w:tcPr>
            <w:tcW w:w="2030" w:type="dxa"/>
            <w:vAlign w:val="center"/>
          </w:tcPr>
          <w:p w:rsidR="0068099D" w:rsidRPr="00115335" w:rsidRDefault="00115335" w:rsidP="0029256D">
            <w:pPr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5335">
              <w:rPr>
                <w:rFonts w:ascii="Arial" w:hAnsi="Arial" w:cs="Arial"/>
                <w:spacing w:val="-4"/>
                <w:sz w:val="20"/>
                <w:szCs w:val="20"/>
              </w:rPr>
              <w:t>P</w:t>
            </w:r>
            <w:r w:rsidR="0068099D" w:rsidRPr="00115335">
              <w:rPr>
                <w:rFonts w:ascii="Arial" w:hAnsi="Arial" w:cs="Arial"/>
                <w:spacing w:val="-4"/>
                <w:sz w:val="20"/>
                <w:szCs w:val="20"/>
              </w:rPr>
              <w:t>ourquoi la broderie perlée est</w:t>
            </w:r>
            <w:r w:rsidR="001E75C6">
              <w:rPr>
                <w:rFonts w:ascii="Arial" w:hAnsi="Arial" w:cs="Arial"/>
                <w:spacing w:val="-4"/>
                <w:sz w:val="20"/>
                <w:szCs w:val="20"/>
              </w:rPr>
              <w:t>-elle</w:t>
            </w:r>
            <w:bookmarkStart w:id="0" w:name="_GoBack"/>
            <w:bookmarkEnd w:id="0"/>
            <w:r w:rsidR="0068099D" w:rsidRPr="00115335">
              <w:rPr>
                <w:rFonts w:ascii="Arial" w:hAnsi="Arial" w:cs="Arial"/>
                <w:spacing w:val="-4"/>
                <w:sz w:val="20"/>
                <w:szCs w:val="20"/>
              </w:rPr>
              <w:t xml:space="preserve"> si appréciée</w:t>
            </w:r>
            <w:r w:rsidR="0029256D" w:rsidRPr="0011533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68099D" w:rsidRPr="00115335">
              <w:rPr>
                <w:rFonts w:ascii="Arial" w:hAnsi="Arial" w:cs="Arial"/>
                <w:spacing w:val="-4"/>
                <w:sz w:val="20"/>
                <w:szCs w:val="20"/>
              </w:rPr>
              <w:t>?</w:t>
            </w:r>
          </w:p>
        </w:tc>
        <w:tc>
          <w:tcPr>
            <w:tcW w:w="2212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1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1912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4267" w:type="dxa"/>
          </w:tcPr>
          <w:p w:rsidR="0068099D" w:rsidRPr="00420A7F" w:rsidRDefault="0068099D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</w:tbl>
    <w:p w:rsidR="00EE50ED" w:rsidRPr="00E353EA" w:rsidRDefault="00EE50ED" w:rsidP="00F0250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EE50ED" w:rsidRPr="00E353EA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04C" w:rsidRDefault="0089004C" w:rsidP="00C8060C">
      <w:pPr>
        <w:spacing w:after="0" w:line="240" w:lineRule="auto"/>
      </w:pPr>
      <w:r>
        <w:separator/>
      </w:r>
    </w:p>
  </w:endnote>
  <w:endnote w:type="continuationSeparator" w:id="0">
    <w:p w:rsidR="0089004C" w:rsidRDefault="0089004C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04C" w:rsidRDefault="0089004C" w:rsidP="00C8060C">
      <w:pPr>
        <w:spacing w:after="0" w:line="240" w:lineRule="auto"/>
      </w:pPr>
      <w:r>
        <w:separator/>
      </w:r>
    </w:p>
  </w:footnote>
  <w:footnote w:type="continuationSeparator" w:id="0">
    <w:p w:rsidR="0089004C" w:rsidRDefault="0089004C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A091C"/>
    <w:rsid w:val="000D7DA4"/>
    <w:rsid w:val="00115335"/>
    <w:rsid w:val="001B0D5B"/>
    <w:rsid w:val="001E75C6"/>
    <w:rsid w:val="001F6D86"/>
    <w:rsid w:val="00230233"/>
    <w:rsid w:val="00267CC4"/>
    <w:rsid w:val="002762F9"/>
    <w:rsid w:val="0029256D"/>
    <w:rsid w:val="002C41D3"/>
    <w:rsid w:val="003A5698"/>
    <w:rsid w:val="003F08DB"/>
    <w:rsid w:val="00420A7F"/>
    <w:rsid w:val="004258D7"/>
    <w:rsid w:val="00434489"/>
    <w:rsid w:val="00456F98"/>
    <w:rsid w:val="00491659"/>
    <w:rsid w:val="004B465F"/>
    <w:rsid w:val="00526472"/>
    <w:rsid w:val="00532F26"/>
    <w:rsid w:val="005C2262"/>
    <w:rsid w:val="0068099D"/>
    <w:rsid w:val="006B256B"/>
    <w:rsid w:val="006D6DF1"/>
    <w:rsid w:val="007D3698"/>
    <w:rsid w:val="0089004C"/>
    <w:rsid w:val="00954990"/>
    <w:rsid w:val="009B6032"/>
    <w:rsid w:val="009C6827"/>
    <w:rsid w:val="009D2257"/>
    <w:rsid w:val="009F2677"/>
    <w:rsid w:val="009F4600"/>
    <w:rsid w:val="00A20517"/>
    <w:rsid w:val="00A20EBD"/>
    <w:rsid w:val="00A714A9"/>
    <w:rsid w:val="00A835B9"/>
    <w:rsid w:val="00A840B5"/>
    <w:rsid w:val="00AA7A26"/>
    <w:rsid w:val="00B53E87"/>
    <w:rsid w:val="00B67CA0"/>
    <w:rsid w:val="00BD0D78"/>
    <w:rsid w:val="00C27533"/>
    <w:rsid w:val="00C30F5F"/>
    <w:rsid w:val="00C37163"/>
    <w:rsid w:val="00C5570D"/>
    <w:rsid w:val="00C76E2D"/>
    <w:rsid w:val="00C8060C"/>
    <w:rsid w:val="00C96CE3"/>
    <w:rsid w:val="00CA0408"/>
    <w:rsid w:val="00CB3532"/>
    <w:rsid w:val="00CD1A81"/>
    <w:rsid w:val="00CD55FC"/>
    <w:rsid w:val="00D16128"/>
    <w:rsid w:val="00DC7002"/>
    <w:rsid w:val="00E04674"/>
    <w:rsid w:val="00E24712"/>
    <w:rsid w:val="00E353EA"/>
    <w:rsid w:val="00EA1E68"/>
    <w:rsid w:val="00EA35A2"/>
    <w:rsid w:val="00EB1F17"/>
    <w:rsid w:val="00EE50ED"/>
    <w:rsid w:val="00F02504"/>
    <w:rsid w:val="00F221CA"/>
    <w:rsid w:val="00F57892"/>
    <w:rsid w:val="00FC2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17</cp:revision>
  <dcterms:created xsi:type="dcterms:W3CDTF">2018-08-09T14:51:00Z</dcterms:created>
  <dcterms:modified xsi:type="dcterms:W3CDTF">2018-09-18T20:33:00Z</dcterms:modified>
</cp:coreProperties>
</file>